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Результаты оценки показателей</w:t>
      </w:r>
    </w:p>
    <w:p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:rsidR="00356683" w:rsidRDefault="000528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2015 год</w:t>
      </w:r>
      <w:r w:rsidR="00D96014">
        <w:rPr>
          <w:b/>
          <w:bCs/>
          <w:sz w:val="26"/>
          <w:szCs w:val="28"/>
        </w:rPr>
        <w:t xml:space="preserve"> </w:t>
      </w:r>
    </w:p>
    <w:p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tbl>
      <w:tblPr>
        <w:tblW w:w="15168" w:type="dxa"/>
        <w:tblInd w:w="-7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410"/>
        <w:gridCol w:w="2268"/>
        <w:gridCol w:w="2552"/>
        <w:gridCol w:w="2268"/>
        <w:gridCol w:w="2693"/>
      </w:tblGrid>
      <w:tr w:rsidR="00356683" w:rsidRPr="00B5475A" w:rsidTr="00A827D7">
        <w:trPr>
          <w:cantSplit/>
          <w:trHeight w:val="315"/>
        </w:trPr>
        <w:tc>
          <w:tcPr>
            <w:tcW w:w="2977" w:type="dxa"/>
            <w:vMerge w:val="restart"/>
          </w:tcPr>
          <w:p w:rsidR="00356683" w:rsidRPr="00B5475A" w:rsidRDefault="00356683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B5475A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Наименование  </w:t>
            </w:r>
            <w:r w:rsidRPr="00B5475A">
              <w:rPr>
                <w:rFonts w:ascii="Times New Roman" w:hAnsi="Times New Roman" w:cs="Times New Roman"/>
                <w:bCs/>
                <w:sz w:val="26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показателя</w:t>
            </w:r>
          </w:p>
        </w:tc>
        <w:tc>
          <w:tcPr>
            <w:tcW w:w="12191" w:type="dxa"/>
            <w:gridSpan w:val="5"/>
            <w:tcBorders>
              <w:bottom w:val="single" w:sz="4" w:space="0" w:color="auto"/>
            </w:tcBorders>
          </w:tcPr>
          <w:p w:rsidR="00356683" w:rsidRPr="00B5475A" w:rsidRDefault="00356683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Главные распорядители бюджетных средств</w:t>
            </w:r>
          </w:p>
        </w:tc>
      </w:tr>
      <w:tr w:rsidR="001768BE" w:rsidRPr="00B5475A" w:rsidTr="00A827D7">
        <w:trPr>
          <w:cantSplit/>
          <w:trHeight w:val="390"/>
        </w:trPr>
        <w:tc>
          <w:tcPr>
            <w:tcW w:w="2977" w:type="dxa"/>
            <w:vMerge/>
          </w:tcPr>
          <w:p w:rsidR="001768BE" w:rsidRPr="00B5475A" w:rsidRDefault="001768BE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768BE" w:rsidRDefault="001768BE" w:rsidP="0095324F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:rsidR="001768BE" w:rsidRPr="00B5475A" w:rsidRDefault="001768BE" w:rsidP="0095324F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г. Стерлитамак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68BE" w:rsidRPr="00B5475A" w:rsidRDefault="001768BE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768BE" w:rsidRPr="00B5475A" w:rsidRDefault="001768BE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культуры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68BE" w:rsidRPr="00B5475A" w:rsidRDefault="001768BE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Комитет по спорту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68BE" w:rsidRPr="00B5475A" w:rsidRDefault="001768BE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жилищно-коммунального хозяйства</w:t>
            </w:r>
          </w:p>
        </w:tc>
      </w:tr>
    </w:tbl>
    <w:p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2917"/>
        <w:gridCol w:w="2435"/>
        <w:gridCol w:w="2236"/>
        <w:gridCol w:w="30"/>
        <w:gridCol w:w="143"/>
        <w:gridCol w:w="2411"/>
        <w:gridCol w:w="2261"/>
        <w:gridCol w:w="96"/>
        <w:gridCol w:w="53"/>
        <w:gridCol w:w="2552"/>
      </w:tblGrid>
      <w:tr w:rsidR="004C2701" w:rsidRPr="00B5475A" w:rsidTr="00A827D7">
        <w:trPr>
          <w:trHeight w:val="76"/>
        </w:trPr>
        <w:tc>
          <w:tcPr>
            <w:tcW w:w="2918" w:type="dxa"/>
          </w:tcPr>
          <w:p w:rsidR="00D82728" w:rsidRPr="00B5475A" w:rsidRDefault="00D82728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435" w:type="dxa"/>
          </w:tcPr>
          <w:p w:rsidR="00D82728" w:rsidRPr="00B5475A" w:rsidRDefault="00D82728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2236" w:type="dxa"/>
          </w:tcPr>
          <w:p w:rsidR="00D82728" w:rsidRPr="00B5475A" w:rsidRDefault="00D82728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2584" w:type="dxa"/>
            <w:gridSpan w:val="3"/>
          </w:tcPr>
          <w:p w:rsidR="00D82728" w:rsidRPr="00B5475A" w:rsidRDefault="00D82728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</w:t>
            </w:r>
          </w:p>
        </w:tc>
        <w:tc>
          <w:tcPr>
            <w:tcW w:w="2261" w:type="dxa"/>
          </w:tcPr>
          <w:p w:rsidR="00D82728" w:rsidRPr="00B5475A" w:rsidRDefault="00D82728" w:rsidP="00D8272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5</w:t>
            </w:r>
          </w:p>
        </w:tc>
        <w:tc>
          <w:tcPr>
            <w:tcW w:w="2700" w:type="dxa"/>
            <w:gridSpan w:val="3"/>
          </w:tcPr>
          <w:p w:rsidR="00D82728" w:rsidRPr="00B5475A" w:rsidRDefault="00D82728" w:rsidP="00C75183">
            <w:pPr>
              <w:pStyle w:val="ConsPlusCell"/>
              <w:spacing w:before="120"/>
              <w:ind w:left="-100" w:right="1167" w:hanging="4"/>
              <w:jc w:val="right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6</w:t>
            </w:r>
          </w:p>
        </w:tc>
      </w:tr>
      <w:tr w:rsidR="00D82728" w:rsidRPr="00745A20" w:rsidTr="00A827D7">
        <w:trPr>
          <w:trHeight w:val="76"/>
        </w:trPr>
        <w:tc>
          <w:tcPr>
            <w:tcW w:w="15134" w:type="dxa"/>
            <w:gridSpan w:val="10"/>
          </w:tcPr>
          <w:p w:rsidR="00D82728" w:rsidRPr="00745A20" w:rsidRDefault="00D82728" w:rsidP="005902A5">
            <w:pPr>
              <w:pStyle w:val="ConsPlusCell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Оценка механизмов планирования расходов бюджета ГО г. Стерлитамак РБ</w:t>
            </w:r>
            <w:r w:rsidR="00A3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E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мах возможная оценка поданному направлению =10</w:t>
            </w:r>
          </w:p>
        </w:tc>
      </w:tr>
      <w:tr w:rsidR="004C2701" w:rsidRPr="00745A20" w:rsidTr="00A827D7">
        <w:trPr>
          <w:trHeight w:val="2373"/>
        </w:trPr>
        <w:tc>
          <w:tcPr>
            <w:tcW w:w="2918" w:type="dxa"/>
          </w:tcPr>
          <w:p w:rsidR="00D82728" w:rsidRPr="00745A20" w:rsidRDefault="00D82728" w:rsidP="00B9085C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="00B90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бюджетных  ассигнований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1010"/>
        </w:trPr>
        <w:tc>
          <w:tcPr>
            <w:tcW w:w="2918" w:type="dxa"/>
            <w:tcBorders>
              <w:bottom w:val="single" w:sz="4" w:space="0" w:color="auto"/>
            </w:tcBorders>
          </w:tcPr>
          <w:p w:rsidR="00E4785F" w:rsidRPr="00745A20" w:rsidRDefault="00D82728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728" w:rsidRPr="00745A20" w:rsidRDefault="006D4442" w:rsidP="006D4442">
            <w:pPr>
              <w:pStyle w:val="ConsPlusCell"/>
              <w:spacing w:before="12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4785F" w:rsidRPr="00745A20" w:rsidTr="00A827D7">
        <w:trPr>
          <w:trHeight w:val="351"/>
        </w:trPr>
        <w:tc>
          <w:tcPr>
            <w:tcW w:w="2918" w:type="dxa"/>
            <w:tcBorders>
              <w:top w:val="single" w:sz="4" w:space="0" w:color="auto"/>
            </w:tcBorders>
          </w:tcPr>
          <w:p w:rsidR="00E4785F" w:rsidRPr="00745A20" w:rsidRDefault="00E4785F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12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82728" w:rsidRPr="00745A20" w:rsidTr="00A827D7">
        <w:trPr>
          <w:trHeight w:val="218"/>
        </w:trPr>
        <w:tc>
          <w:tcPr>
            <w:tcW w:w="15134" w:type="dxa"/>
            <w:gridSpan w:val="10"/>
          </w:tcPr>
          <w:p w:rsidR="00D82728" w:rsidRPr="00745A20" w:rsidRDefault="00D82728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Оценка результатов исполнения бюджета ГО г. Стерлитамак РБ  по расходам</w:t>
            </w:r>
            <w:r w:rsidR="00A3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 возможная оценка поданному направлению =25</w:t>
            </w:r>
          </w:p>
        </w:tc>
      </w:tr>
      <w:tr w:rsidR="004C2701" w:rsidRPr="00745A20" w:rsidTr="00A827D7">
        <w:trPr>
          <w:trHeight w:val="2136"/>
        </w:trPr>
        <w:tc>
          <w:tcPr>
            <w:tcW w:w="2918" w:type="dxa"/>
          </w:tcPr>
          <w:p w:rsidR="004C2701" w:rsidRPr="00745A20" w:rsidRDefault="004C2701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Р3. Уровень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испо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нения расходов ГРБС за счет средств бюджета ГО г. Стерлитамак РБ (без учета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меж-бюджетных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транс-фертов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52615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52615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526151" w:rsidP="006D444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2926"/>
        </w:trPr>
        <w:tc>
          <w:tcPr>
            <w:tcW w:w="2918" w:type="dxa"/>
          </w:tcPr>
          <w:p w:rsidR="004C2701" w:rsidRPr="00745A20" w:rsidRDefault="004C2701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Доля кассовых расходов (без учета межбюджетных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-фертов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произведен-ных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ГРБС и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под-ведомственными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04" w:type="dxa"/>
            <w:gridSpan w:val="2"/>
            <w:tcBorders>
              <w:left w:val="single" w:sz="4" w:space="0" w:color="auto"/>
            </w:tcBorders>
          </w:tcPr>
          <w:p w:rsidR="004C2701" w:rsidRPr="00745A20" w:rsidRDefault="006D4442" w:rsidP="006D444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2701" w:rsidRPr="00745A20" w:rsidTr="00A827D7">
        <w:trPr>
          <w:trHeight w:val="1553"/>
        </w:trPr>
        <w:tc>
          <w:tcPr>
            <w:tcW w:w="2918" w:type="dxa"/>
          </w:tcPr>
          <w:p w:rsidR="004C2701" w:rsidRPr="00745A20" w:rsidRDefault="004C2701" w:rsidP="005902A5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необос-нованной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кредито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ской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задолженности на конец отчетного периода  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1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04" w:type="dxa"/>
            <w:gridSpan w:val="2"/>
            <w:tcBorders>
              <w:lef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1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1305"/>
        </w:trPr>
        <w:tc>
          <w:tcPr>
            <w:tcW w:w="2918" w:type="dxa"/>
          </w:tcPr>
          <w:p w:rsidR="004C2701" w:rsidRPr="00745A20" w:rsidRDefault="004C2701" w:rsidP="005902A5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необос-нованной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дебито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ской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задолженности на конец отчетного периода   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04" w:type="dxa"/>
            <w:gridSpan w:val="2"/>
            <w:tcBorders>
              <w:lef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3977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E4785F" w:rsidRPr="00745A20" w:rsidRDefault="004C270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Соблюдение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 санкционирования денежных обязательств получателей средств бюджета ГО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701" w:rsidRPr="00745A20" w:rsidRDefault="008A31EE" w:rsidP="006D4442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4785F" w:rsidRPr="00745A20" w:rsidTr="00A827D7">
        <w:trPr>
          <w:trHeight w:val="360"/>
        </w:trPr>
        <w:tc>
          <w:tcPr>
            <w:tcW w:w="2918" w:type="dxa"/>
            <w:tcBorders>
              <w:top w:val="single" w:sz="4" w:space="0" w:color="auto"/>
            </w:tcBorders>
          </w:tcPr>
          <w:p w:rsidR="00E4785F" w:rsidRPr="00745A20" w:rsidRDefault="00E4785F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E4785F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785F" w:rsidRPr="00EA3E58" w:rsidRDefault="00E4785F" w:rsidP="006D4442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D82728" w:rsidRPr="00745A20" w:rsidTr="00A827D7">
        <w:trPr>
          <w:trHeight w:val="159"/>
        </w:trPr>
        <w:tc>
          <w:tcPr>
            <w:tcW w:w="15134" w:type="dxa"/>
            <w:gridSpan w:val="10"/>
          </w:tcPr>
          <w:p w:rsidR="00D82728" w:rsidRPr="00745A20" w:rsidRDefault="00D82728" w:rsidP="000D03AC">
            <w:pPr>
              <w:pStyle w:val="ConsPlusCell"/>
              <w:spacing w:before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</w:t>
            </w:r>
            <w:r w:rsidR="00A3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E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мах возможная оценка поданному направлению =5</w:t>
            </w:r>
          </w:p>
        </w:tc>
      </w:tr>
      <w:tr w:rsidR="004C2701" w:rsidRPr="00745A20" w:rsidTr="00A827D7">
        <w:trPr>
          <w:trHeight w:val="1217"/>
        </w:trPr>
        <w:tc>
          <w:tcPr>
            <w:tcW w:w="2918" w:type="dxa"/>
            <w:tcBorders>
              <w:bottom w:val="single" w:sz="4" w:space="0" w:color="auto"/>
            </w:tcBorders>
          </w:tcPr>
          <w:p w:rsidR="00E4785F" w:rsidRPr="00745A20" w:rsidRDefault="00D82728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D82728" w:rsidRPr="00745A20" w:rsidRDefault="008A31EE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8" w:rsidRPr="00745A20" w:rsidRDefault="008A31EE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28" w:rsidRPr="00745A20" w:rsidRDefault="008A31EE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82728" w:rsidRPr="00745A20" w:rsidRDefault="008A31EE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2728" w:rsidRPr="00745A20" w:rsidRDefault="008A31EE" w:rsidP="008A31EE">
            <w:pPr>
              <w:pStyle w:val="ConsPlusCell"/>
              <w:spacing w:before="1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4785F" w:rsidRPr="00745A20" w:rsidTr="00A827D7">
        <w:trPr>
          <w:trHeight w:val="346"/>
        </w:trPr>
        <w:tc>
          <w:tcPr>
            <w:tcW w:w="2918" w:type="dxa"/>
            <w:tcBorders>
              <w:top w:val="single" w:sz="4" w:space="0" w:color="auto"/>
            </w:tcBorders>
          </w:tcPr>
          <w:p w:rsidR="00E4785F" w:rsidRPr="00745A20" w:rsidRDefault="00C75183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E4785F" w:rsidRPr="00EA3E58" w:rsidRDefault="00C75183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C75183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C75183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785F" w:rsidRPr="00EA3E58" w:rsidRDefault="00C75183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4785F" w:rsidRPr="00EA3E58" w:rsidRDefault="00C75183" w:rsidP="008A31EE">
            <w:pPr>
              <w:pStyle w:val="ConsPlusCell"/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C2701" w:rsidRPr="00745A20" w:rsidTr="00A827D7">
        <w:trPr>
          <w:trHeight w:val="317"/>
        </w:trPr>
        <w:tc>
          <w:tcPr>
            <w:tcW w:w="15134" w:type="dxa"/>
            <w:gridSpan w:val="10"/>
            <w:tcBorders>
              <w:bottom w:val="single" w:sz="4" w:space="0" w:color="auto"/>
            </w:tcBorders>
          </w:tcPr>
          <w:p w:rsidR="004C2701" w:rsidRPr="00745A20" w:rsidRDefault="004C270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</w:t>
            </w:r>
            <w:r w:rsidR="003E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мах возможная оценка поданному направлению =10</w:t>
            </w:r>
          </w:p>
        </w:tc>
      </w:tr>
      <w:tr w:rsidR="004C2701" w:rsidRPr="00745A20" w:rsidTr="00A827D7">
        <w:trPr>
          <w:trHeight w:val="1286"/>
        </w:trPr>
        <w:tc>
          <w:tcPr>
            <w:tcW w:w="2918" w:type="dxa"/>
            <w:tcBorders>
              <w:top w:val="single" w:sz="4" w:space="0" w:color="auto"/>
            </w:tcBorders>
          </w:tcPr>
          <w:p w:rsidR="004C2701" w:rsidRDefault="004C270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Наличие правового акта ГРБС об </w:t>
            </w:r>
            <w:proofErr w:type="spellStart"/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5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ведомственного финансового контроля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4C2701" w:rsidRPr="00745A20" w:rsidRDefault="009D33FD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01" w:rsidRPr="00745A20" w:rsidRDefault="009D33FD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01" w:rsidRPr="00745A20" w:rsidRDefault="009D33FD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2701" w:rsidRPr="00745A20" w:rsidRDefault="009D33FD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C2701" w:rsidRPr="00745A20" w:rsidRDefault="009D33FD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943"/>
        </w:trPr>
        <w:tc>
          <w:tcPr>
            <w:tcW w:w="2918" w:type="dxa"/>
            <w:tcBorders>
              <w:bottom w:val="single" w:sz="4" w:space="0" w:color="auto"/>
            </w:tcBorders>
          </w:tcPr>
          <w:p w:rsidR="00E4785F" w:rsidRPr="00745A20" w:rsidRDefault="004C270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 w:rsidR="008B5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ведомственного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4C2701" w:rsidRPr="00745A20" w:rsidRDefault="00103C26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103C26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3A1ED2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2701" w:rsidRPr="00745A20" w:rsidRDefault="003A1ED2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2701" w:rsidRPr="00745A20" w:rsidRDefault="00103C26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4C2701" w:rsidRPr="00745A20" w:rsidRDefault="004C270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183" w:rsidRPr="00745A20" w:rsidTr="00A827D7">
        <w:trPr>
          <w:trHeight w:val="384"/>
        </w:trPr>
        <w:tc>
          <w:tcPr>
            <w:tcW w:w="2918" w:type="dxa"/>
            <w:tcBorders>
              <w:top w:val="single" w:sz="4" w:space="0" w:color="auto"/>
            </w:tcBorders>
          </w:tcPr>
          <w:p w:rsidR="00C75183" w:rsidRPr="00745A20" w:rsidRDefault="00C75183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C75183" w:rsidRPr="00EA3E58" w:rsidRDefault="00EA3E58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83" w:rsidRPr="00EA3E58" w:rsidRDefault="00EA3E58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83" w:rsidRPr="00EA3E58" w:rsidRDefault="003A1ED2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183" w:rsidRPr="00EA3E58" w:rsidRDefault="003A1ED2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5183" w:rsidRPr="00EA3E58" w:rsidRDefault="00EA3E58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82728" w:rsidRPr="00745A20" w:rsidTr="00A827D7">
        <w:trPr>
          <w:trHeight w:val="339"/>
        </w:trPr>
        <w:tc>
          <w:tcPr>
            <w:tcW w:w="15134" w:type="dxa"/>
            <w:gridSpan w:val="10"/>
          </w:tcPr>
          <w:p w:rsidR="00D82728" w:rsidRPr="00745A20" w:rsidRDefault="00D82728" w:rsidP="005902A5">
            <w:pPr>
              <w:pStyle w:val="ConsPlusCell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5. Оценка доступности информации о деятельности ГРБС</w:t>
            </w:r>
            <w:r w:rsidR="00A3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E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мах возможная оценка поданному направлению =10</w:t>
            </w:r>
          </w:p>
        </w:tc>
      </w:tr>
      <w:tr w:rsidR="004C2701" w:rsidRPr="00745A20" w:rsidTr="00A827D7">
        <w:trPr>
          <w:trHeight w:val="2688"/>
        </w:trPr>
        <w:tc>
          <w:tcPr>
            <w:tcW w:w="2918" w:type="dxa"/>
          </w:tcPr>
          <w:p w:rsidR="004C2701" w:rsidRPr="00745A20" w:rsidRDefault="004C2701" w:rsidP="005902A5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уч-реждений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 требованиям приказа Министерства финансов РФ от 21.07.2011 №86н (с изменениями)</w:t>
            </w:r>
            <w:proofErr w:type="gramEnd"/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оценивается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</w:tcPr>
          <w:p w:rsidR="004C2701" w:rsidRPr="00745A20" w:rsidRDefault="008A31EE" w:rsidP="008A31EE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C2701" w:rsidRPr="00745A20" w:rsidRDefault="008A31EE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6737"/>
        </w:trPr>
        <w:tc>
          <w:tcPr>
            <w:tcW w:w="2918" w:type="dxa"/>
            <w:tcBorders>
              <w:bottom w:val="single" w:sz="4" w:space="0" w:color="auto"/>
            </w:tcBorders>
          </w:tcPr>
          <w:p w:rsidR="00E4785F" w:rsidRPr="00745A20" w:rsidRDefault="004C270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оценивается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2701" w:rsidRPr="00745A20" w:rsidRDefault="008A31EE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75183" w:rsidRPr="00745A20" w:rsidTr="00A827D7">
        <w:trPr>
          <w:trHeight w:val="385"/>
        </w:trPr>
        <w:tc>
          <w:tcPr>
            <w:tcW w:w="2918" w:type="dxa"/>
            <w:tcBorders>
              <w:top w:val="single" w:sz="4" w:space="0" w:color="auto"/>
            </w:tcBorders>
          </w:tcPr>
          <w:p w:rsidR="00C75183" w:rsidRPr="00745A20" w:rsidRDefault="00C75183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C75183" w:rsidRPr="00C11114" w:rsidRDefault="00C75183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114">
              <w:rPr>
                <w:rFonts w:ascii="Times New Roman" w:hAnsi="Times New Roman" w:cs="Times New Roman"/>
                <w:bCs/>
                <w:sz w:val="24"/>
                <w:szCs w:val="24"/>
              </w:rPr>
              <w:t>Не оценивается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83" w:rsidRPr="00EA3E58" w:rsidRDefault="00C75183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C75183" w:rsidRPr="00EA3E58" w:rsidRDefault="00C75183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75183" w:rsidRPr="00EA3E58" w:rsidRDefault="00C75183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5183" w:rsidRPr="00EA3E58" w:rsidRDefault="00C75183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82728" w:rsidRPr="00745A20" w:rsidTr="00A827D7">
        <w:trPr>
          <w:trHeight w:val="336"/>
        </w:trPr>
        <w:tc>
          <w:tcPr>
            <w:tcW w:w="15134" w:type="dxa"/>
            <w:gridSpan w:val="10"/>
          </w:tcPr>
          <w:p w:rsidR="00D82728" w:rsidRPr="00745A20" w:rsidRDefault="00D82728" w:rsidP="000D03AC">
            <w:pPr>
              <w:pStyle w:val="ConsPlusCell"/>
              <w:spacing w:befor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</w:t>
            </w:r>
            <w:r w:rsidR="00A3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E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мах возможная оценка поданному направлению =10</w:t>
            </w:r>
          </w:p>
        </w:tc>
      </w:tr>
      <w:tr w:rsidR="004C2701" w:rsidRPr="00745A20" w:rsidTr="00A827D7">
        <w:trPr>
          <w:trHeight w:val="1224"/>
        </w:trPr>
        <w:tc>
          <w:tcPr>
            <w:tcW w:w="2918" w:type="dxa"/>
          </w:tcPr>
          <w:p w:rsidR="004C2701" w:rsidRPr="00745A20" w:rsidRDefault="004C270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Р13.  Исполнение судебных решений по денежным обязательствам ГРБС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C2701" w:rsidRPr="00745A20" w:rsidTr="00A827D7">
        <w:trPr>
          <w:trHeight w:val="1234"/>
        </w:trPr>
        <w:tc>
          <w:tcPr>
            <w:tcW w:w="2918" w:type="dxa"/>
            <w:tcBorders>
              <w:bottom w:val="single" w:sz="4" w:space="0" w:color="auto"/>
            </w:tcBorders>
          </w:tcPr>
          <w:p w:rsidR="00E4785F" w:rsidRPr="00745A20" w:rsidRDefault="00303839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2701"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 w:rsidR="004C270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4C2701"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2701" w:rsidRPr="00745A20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4785F" w:rsidRPr="00745A20" w:rsidTr="00A827D7">
        <w:trPr>
          <w:trHeight w:val="377"/>
        </w:trPr>
        <w:tc>
          <w:tcPr>
            <w:tcW w:w="2918" w:type="dxa"/>
            <w:tcBorders>
              <w:top w:val="single" w:sz="4" w:space="0" w:color="auto"/>
            </w:tcBorders>
          </w:tcPr>
          <w:p w:rsidR="00E4785F" w:rsidRPr="00745A20" w:rsidRDefault="00C75183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E4785F" w:rsidRPr="00EA3E58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785F" w:rsidRPr="00EA3E58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4785F" w:rsidRPr="00EA3E58" w:rsidRDefault="00723CB7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82728" w:rsidRPr="00745A20" w:rsidTr="00A827D7">
        <w:tc>
          <w:tcPr>
            <w:tcW w:w="15134" w:type="dxa"/>
            <w:gridSpan w:val="10"/>
          </w:tcPr>
          <w:p w:rsidR="00D82728" w:rsidRPr="00745A20" w:rsidRDefault="00D82728" w:rsidP="00B90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45A20">
              <w:rPr>
                <w:b/>
                <w:sz w:val="24"/>
                <w:szCs w:val="24"/>
              </w:rPr>
              <w:t xml:space="preserve">7. Повышение эффективности  </w:t>
            </w:r>
            <w:r>
              <w:rPr>
                <w:b/>
                <w:sz w:val="24"/>
                <w:szCs w:val="24"/>
              </w:rPr>
              <w:t>труда в муниципальных учреждениях</w:t>
            </w:r>
            <w:r w:rsidRPr="00745A20">
              <w:rPr>
                <w:b/>
                <w:sz w:val="24"/>
                <w:szCs w:val="24"/>
              </w:rPr>
              <w:t>, подведомственных ГРБС</w:t>
            </w:r>
            <w:r w:rsidR="00A369B0">
              <w:rPr>
                <w:b/>
                <w:sz w:val="24"/>
                <w:szCs w:val="24"/>
              </w:rPr>
              <w:t>,</w:t>
            </w:r>
            <w:r w:rsidR="003E7E53">
              <w:rPr>
                <w:b/>
                <w:bCs/>
                <w:sz w:val="24"/>
                <w:szCs w:val="24"/>
              </w:rPr>
              <w:t xml:space="preserve"> мах возможная оценка поданному направлению =5</w:t>
            </w:r>
          </w:p>
        </w:tc>
      </w:tr>
      <w:tr w:rsidR="004C2701" w:rsidRPr="00745A20" w:rsidTr="00722627">
        <w:trPr>
          <w:trHeight w:val="2229"/>
        </w:trPr>
        <w:tc>
          <w:tcPr>
            <w:tcW w:w="2918" w:type="dxa"/>
            <w:tcBorders>
              <w:bottom w:val="single" w:sz="4" w:space="0" w:color="auto"/>
            </w:tcBorders>
          </w:tcPr>
          <w:p w:rsidR="00E4785F" w:rsidRPr="00745A20" w:rsidRDefault="004C2701" w:rsidP="005902A5">
            <w:pPr>
              <w:rPr>
                <w:sz w:val="24"/>
                <w:szCs w:val="24"/>
              </w:rPr>
            </w:pPr>
            <w:r w:rsidRPr="00745A20">
              <w:rPr>
                <w:sz w:val="24"/>
                <w:szCs w:val="24"/>
              </w:rPr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435" w:type="dxa"/>
            <w:tcBorders>
              <w:bottom w:val="single" w:sz="4" w:space="0" w:color="auto"/>
              <w:right w:val="single" w:sz="4" w:space="0" w:color="auto"/>
            </w:tcBorders>
          </w:tcPr>
          <w:p w:rsidR="004C2701" w:rsidRPr="00745A20" w:rsidRDefault="006927D8" w:rsidP="00EA3E5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оценивается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722627" w:rsidP="00EA3E58">
            <w:pPr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1" w:rsidRPr="00745A20" w:rsidRDefault="00722627" w:rsidP="00EA3E58">
            <w:pPr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2701" w:rsidRPr="00745A20" w:rsidRDefault="00722627" w:rsidP="00EA3E58">
            <w:pPr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C2701" w:rsidRPr="00745A20" w:rsidRDefault="00722627" w:rsidP="00EA3E5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E4785F" w:rsidRPr="00745A20" w:rsidTr="00722627">
        <w:trPr>
          <w:trHeight w:val="300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E4785F" w:rsidRPr="00745A20" w:rsidRDefault="00C75183" w:rsidP="00C75183"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5F" w:rsidRPr="002622F7" w:rsidRDefault="006927D8" w:rsidP="00722627">
            <w:pPr>
              <w:jc w:val="center"/>
            </w:pPr>
            <w:r w:rsidRPr="002622F7">
              <w:rPr>
                <w:bCs/>
                <w:sz w:val="24"/>
                <w:szCs w:val="24"/>
              </w:rPr>
              <w:t>Не оценивается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5F" w:rsidRPr="00EA3E58" w:rsidRDefault="00722627" w:rsidP="00722627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5F" w:rsidRPr="00EA3E58" w:rsidRDefault="00722627" w:rsidP="00722627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85F" w:rsidRPr="00EA3E58" w:rsidRDefault="00722627" w:rsidP="00722627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785F" w:rsidRPr="00EA3E58" w:rsidRDefault="00722627" w:rsidP="00722627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4785F" w:rsidRPr="00EA3E58" w:rsidTr="00722627">
        <w:trPr>
          <w:trHeight w:val="394"/>
        </w:trPr>
        <w:tc>
          <w:tcPr>
            <w:tcW w:w="2918" w:type="dxa"/>
            <w:tcBorders>
              <w:top w:val="single" w:sz="4" w:space="0" w:color="auto"/>
            </w:tcBorders>
          </w:tcPr>
          <w:p w:rsidR="00E4785F" w:rsidRPr="00EA3E58" w:rsidRDefault="00C75183" w:rsidP="005902A5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 w:rsidR="00EF754E"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435" w:type="dxa"/>
            <w:tcBorders>
              <w:top w:val="single" w:sz="4" w:space="0" w:color="auto"/>
              <w:right w:val="single" w:sz="4" w:space="0" w:color="auto"/>
            </w:tcBorders>
          </w:tcPr>
          <w:p w:rsidR="00E4785F" w:rsidRPr="00EA3E58" w:rsidRDefault="006927D8" w:rsidP="005902A5">
            <w:pPr>
              <w:rPr>
                <w:b/>
              </w:rPr>
            </w:pPr>
            <w:r>
              <w:rPr>
                <w:b/>
              </w:rPr>
              <w:t>39 по 12</w:t>
            </w:r>
            <w:r w:rsidR="00EA3E58" w:rsidRPr="00EA3E58">
              <w:rPr>
                <w:b/>
              </w:rPr>
              <w:t xml:space="preserve"> показателям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442174" w:rsidP="005902A5">
            <w:pPr>
              <w:rPr>
                <w:b/>
              </w:rPr>
            </w:pPr>
            <w:r>
              <w:rPr>
                <w:b/>
              </w:rPr>
              <w:t>56</w:t>
            </w:r>
            <w:r w:rsidR="00B72335">
              <w:rPr>
                <w:b/>
              </w:rPr>
              <w:t xml:space="preserve"> по 15</w:t>
            </w:r>
            <w:r w:rsidR="00EA3E58">
              <w:rPr>
                <w:b/>
              </w:rPr>
              <w:t xml:space="preserve"> </w:t>
            </w:r>
            <w:r w:rsidR="00EA3E58" w:rsidRPr="00EA3E58">
              <w:rPr>
                <w:b/>
              </w:rPr>
              <w:t>показателям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5F" w:rsidRPr="00EA3E58" w:rsidRDefault="00442174" w:rsidP="005902A5">
            <w:pPr>
              <w:rPr>
                <w:b/>
              </w:rPr>
            </w:pPr>
            <w:r>
              <w:rPr>
                <w:b/>
              </w:rPr>
              <w:t>62</w:t>
            </w:r>
            <w:r w:rsidR="00B72335">
              <w:rPr>
                <w:b/>
              </w:rPr>
              <w:t xml:space="preserve"> по 15</w:t>
            </w:r>
            <w:r w:rsidR="00EA3E58">
              <w:rPr>
                <w:b/>
              </w:rPr>
              <w:t>показателям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785F" w:rsidRPr="00EA3E58" w:rsidRDefault="00442174" w:rsidP="00103C26">
            <w:pPr>
              <w:rPr>
                <w:b/>
              </w:rPr>
            </w:pPr>
            <w:r>
              <w:rPr>
                <w:b/>
              </w:rPr>
              <w:t>63</w:t>
            </w:r>
            <w:r w:rsidR="00B72335">
              <w:rPr>
                <w:b/>
              </w:rPr>
              <w:t xml:space="preserve"> по 15</w:t>
            </w:r>
            <w:r w:rsidR="00A827D7">
              <w:rPr>
                <w:b/>
              </w:rPr>
              <w:t>показателям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4785F" w:rsidRPr="00EA3E58" w:rsidRDefault="006927D8" w:rsidP="005902A5">
            <w:pPr>
              <w:rPr>
                <w:b/>
              </w:rPr>
            </w:pPr>
            <w:r>
              <w:rPr>
                <w:b/>
              </w:rPr>
              <w:t>54</w:t>
            </w:r>
            <w:r w:rsidR="003D72DE">
              <w:rPr>
                <w:b/>
              </w:rPr>
              <w:t xml:space="preserve"> по 15</w:t>
            </w:r>
            <w:r w:rsidR="00A827D7">
              <w:rPr>
                <w:b/>
              </w:rPr>
              <w:t xml:space="preserve"> показателям</w:t>
            </w:r>
          </w:p>
        </w:tc>
      </w:tr>
    </w:tbl>
    <w:p w:rsidR="001917FF" w:rsidRPr="00EA3E58" w:rsidRDefault="001917FF" w:rsidP="00356683">
      <w:pPr>
        <w:rPr>
          <w:b/>
        </w:rPr>
      </w:pPr>
    </w:p>
    <w:p w:rsidR="00356683" w:rsidRPr="00745A20" w:rsidRDefault="00356683" w:rsidP="00356683"/>
    <w:sectPr w:rsidR="00356683" w:rsidRPr="00745A20" w:rsidSect="0004412E">
      <w:pgSz w:w="16838" w:h="11905" w:orient="landscape"/>
      <w:pgMar w:top="851" w:right="851" w:bottom="851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683"/>
    <w:rsid w:val="00033E85"/>
    <w:rsid w:val="0004412E"/>
    <w:rsid w:val="00052883"/>
    <w:rsid w:val="00061218"/>
    <w:rsid w:val="000721FA"/>
    <w:rsid w:val="00094B7E"/>
    <w:rsid w:val="000D03AC"/>
    <w:rsid w:val="00103C26"/>
    <w:rsid w:val="00103E9D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41211"/>
    <w:rsid w:val="00253FC0"/>
    <w:rsid w:val="002622F7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D5AB8"/>
    <w:rsid w:val="005040A9"/>
    <w:rsid w:val="0050658E"/>
    <w:rsid w:val="00526151"/>
    <w:rsid w:val="005648C6"/>
    <w:rsid w:val="00587D5B"/>
    <w:rsid w:val="005902A5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720364"/>
    <w:rsid w:val="00722627"/>
    <w:rsid w:val="00723CB7"/>
    <w:rsid w:val="00736655"/>
    <w:rsid w:val="0074151D"/>
    <w:rsid w:val="007448D8"/>
    <w:rsid w:val="0075706B"/>
    <w:rsid w:val="00762D0F"/>
    <w:rsid w:val="007A15DA"/>
    <w:rsid w:val="007C241C"/>
    <w:rsid w:val="007C5B2E"/>
    <w:rsid w:val="007D2A0A"/>
    <w:rsid w:val="008110A7"/>
    <w:rsid w:val="00812DE4"/>
    <w:rsid w:val="00840689"/>
    <w:rsid w:val="00876686"/>
    <w:rsid w:val="008A31EE"/>
    <w:rsid w:val="008B0D7D"/>
    <w:rsid w:val="008B59E6"/>
    <w:rsid w:val="008B5CCE"/>
    <w:rsid w:val="008B6C1C"/>
    <w:rsid w:val="008C531E"/>
    <w:rsid w:val="0095324F"/>
    <w:rsid w:val="00956403"/>
    <w:rsid w:val="009B5681"/>
    <w:rsid w:val="009D33FD"/>
    <w:rsid w:val="009D40BD"/>
    <w:rsid w:val="00A369B0"/>
    <w:rsid w:val="00A443FE"/>
    <w:rsid w:val="00A772C6"/>
    <w:rsid w:val="00A827D7"/>
    <w:rsid w:val="00A867E3"/>
    <w:rsid w:val="00A971AE"/>
    <w:rsid w:val="00AA700C"/>
    <w:rsid w:val="00AB50C8"/>
    <w:rsid w:val="00AE50BF"/>
    <w:rsid w:val="00B140AC"/>
    <w:rsid w:val="00B66562"/>
    <w:rsid w:val="00B72335"/>
    <w:rsid w:val="00B9085C"/>
    <w:rsid w:val="00BD0B98"/>
    <w:rsid w:val="00BD7E42"/>
    <w:rsid w:val="00BE502D"/>
    <w:rsid w:val="00BF5A47"/>
    <w:rsid w:val="00C06251"/>
    <w:rsid w:val="00C06C8C"/>
    <w:rsid w:val="00C11114"/>
    <w:rsid w:val="00C139CD"/>
    <w:rsid w:val="00C471C2"/>
    <w:rsid w:val="00C706CD"/>
    <w:rsid w:val="00C75183"/>
    <w:rsid w:val="00C95B77"/>
    <w:rsid w:val="00CB027F"/>
    <w:rsid w:val="00CB71C2"/>
    <w:rsid w:val="00CF7608"/>
    <w:rsid w:val="00D15A52"/>
    <w:rsid w:val="00D20EC4"/>
    <w:rsid w:val="00D53A1D"/>
    <w:rsid w:val="00D82728"/>
    <w:rsid w:val="00D83690"/>
    <w:rsid w:val="00D847CA"/>
    <w:rsid w:val="00D96014"/>
    <w:rsid w:val="00DD1564"/>
    <w:rsid w:val="00DE6EE4"/>
    <w:rsid w:val="00E00AEC"/>
    <w:rsid w:val="00E43E01"/>
    <w:rsid w:val="00E4785F"/>
    <w:rsid w:val="00E70374"/>
    <w:rsid w:val="00EA3E58"/>
    <w:rsid w:val="00EA6C4E"/>
    <w:rsid w:val="00ED0D90"/>
    <w:rsid w:val="00ED66D0"/>
    <w:rsid w:val="00ED6E26"/>
    <w:rsid w:val="00EF754E"/>
    <w:rsid w:val="00F01DFE"/>
    <w:rsid w:val="00F20EF3"/>
    <w:rsid w:val="00F5144D"/>
    <w:rsid w:val="00F81BAF"/>
    <w:rsid w:val="00FA3E26"/>
    <w:rsid w:val="00FB448A"/>
    <w:rsid w:val="00FE004E"/>
    <w:rsid w:val="00FE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C163-8273-4E9B-98EB-7B64C485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закупок 3</cp:lastModifiedBy>
  <cp:revision>2</cp:revision>
  <cp:lastPrinted>2016-11-23T07:45:00Z</cp:lastPrinted>
  <dcterms:created xsi:type="dcterms:W3CDTF">2016-11-23T10:39:00Z</dcterms:created>
  <dcterms:modified xsi:type="dcterms:W3CDTF">2016-11-23T10:39:00Z</dcterms:modified>
</cp:coreProperties>
</file>