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 xml:space="preserve">Приложение № </w:t>
      </w:r>
      <w:r w:rsidR="00E96757">
        <w:rPr>
          <w:rFonts w:ascii="Times New Roman" w:hAnsi="Times New Roman" w:cs="Times New Roman"/>
          <w:sz w:val="24"/>
          <w:szCs w:val="24"/>
        </w:rPr>
        <w:t>8</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к постановлению администрации</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городского округа город Стерлитамак</w:t>
      </w:r>
    </w:p>
    <w:p w:rsidR="00EF2082" w:rsidRPr="00EF2082" w:rsidRDefault="00EF2082"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Республики Башкортостан</w:t>
      </w:r>
    </w:p>
    <w:p w:rsidR="00EF2082" w:rsidRPr="00EF2082" w:rsidRDefault="00E62CAF" w:rsidP="00EF2082">
      <w:pPr>
        <w:spacing w:after="0" w:line="240" w:lineRule="auto"/>
        <w:ind w:left="5760" w:right="-283"/>
        <w:rPr>
          <w:rFonts w:ascii="Times New Roman" w:hAnsi="Times New Roman" w:cs="Times New Roman"/>
          <w:sz w:val="24"/>
          <w:szCs w:val="24"/>
        </w:rPr>
      </w:pPr>
      <w:r w:rsidRPr="00EF2082">
        <w:rPr>
          <w:rFonts w:ascii="Times New Roman" w:hAnsi="Times New Roman" w:cs="Times New Roman"/>
          <w:sz w:val="24"/>
          <w:szCs w:val="24"/>
        </w:rPr>
        <w:t>от _</w:t>
      </w:r>
      <w:r w:rsidR="00EF2082" w:rsidRPr="00EF2082">
        <w:rPr>
          <w:rFonts w:ascii="Times New Roman" w:hAnsi="Times New Roman" w:cs="Times New Roman"/>
          <w:sz w:val="24"/>
          <w:szCs w:val="24"/>
        </w:rPr>
        <w:t xml:space="preserve">___________   </w:t>
      </w:r>
      <w:r w:rsidRPr="00EF2082">
        <w:rPr>
          <w:rFonts w:ascii="Times New Roman" w:hAnsi="Times New Roman" w:cs="Times New Roman"/>
          <w:sz w:val="24"/>
          <w:szCs w:val="24"/>
        </w:rPr>
        <w:t>№ _</w:t>
      </w:r>
      <w:r w:rsidR="00EF2082" w:rsidRPr="00EF2082">
        <w:rPr>
          <w:rFonts w:ascii="Times New Roman" w:hAnsi="Times New Roman" w:cs="Times New Roman"/>
          <w:sz w:val="24"/>
          <w:szCs w:val="24"/>
        </w:rPr>
        <w:t>______</w:t>
      </w:r>
    </w:p>
    <w:p w:rsidR="00EF2082" w:rsidRDefault="00E452FB" w:rsidP="00EF2082">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p w:rsidR="00E318D1" w:rsidRDefault="00EF2082" w:rsidP="0020452D">
      <w:pPr>
        <w:widowControl w:val="0"/>
        <w:shd w:val="clear" w:color="auto" w:fill="FFFFFF"/>
        <w:autoSpaceDE w:val="0"/>
        <w:autoSpaceDN w:val="0"/>
        <w:adjustRightInd w:val="0"/>
        <w:spacing w:after="0" w:line="240" w:lineRule="auto"/>
        <w:ind w:left="4956"/>
        <w:rPr>
          <w:rFonts w:ascii="Times New Roman" w:hAnsi="Times New Roman" w:cs="Times New Roman"/>
          <w:bCs/>
          <w:sz w:val="28"/>
          <w:szCs w:val="28"/>
        </w:rPr>
      </w:pPr>
      <w:r>
        <w:rPr>
          <w:rFonts w:ascii="Times New Roman" w:hAnsi="Times New Roman" w:cs="Times New Roman"/>
          <w:bCs/>
          <w:color w:val="000000"/>
          <w:sz w:val="24"/>
          <w:szCs w:val="24"/>
        </w:rPr>
        <w:t xml:space="preserve">              </w:t>
      </w:r>
      <w:r w:rsidR="00E452FB" w:rsidRPr="00E452FB">
        <w:rPr>
          <w:rFonts w:ascii="Times New Roman" w:hAnsi="Times New Roman" w:cs="Times New Roman"/>
          <w:bCs/>
          <w:color w:val="000000"/>
          <w:sz w:val="24"/>
          <w:szCs w:val="24"/>
        </w:rPr>
        <w:t xml:space="preserve">Проект  </w:t>
      </w:r>
    </w:p>
    <w:p w:rsidR="00E318D1" w:rsidRDefault="00E318D1" w:rsidP="00660272">
      <w:pPr>
        <w:spacing w:after="0" w:line="240" w:lineRule="auto"/>
        <w:jc w:val="center"/>
        <w:rPr>
          <w:rFonts w:ascii="Times New Roman" w:hAnsi="Times New Roman" w:cs="Times New Roman"/>
          <w:bCs/>
          <w:sz w:val="28"/>
          <w:szCs w:val="28"/>
        </w:rPr>
      </w:pPr>
    </w:p>
    <w:p w:rsidR="002456AD" w:rsidRDefault="002456AD" w:rsidP="002456A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О бюджете городского округа город Стерлитамак </w:t>
      </w:r>
    </w:p>
    <w:p w:rsidR="002456AD" w:rsidRDefault="002456AD" w:rsidP="002456A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Республики Башкортостан на 2024 год и на плановый период</w:t>
      </w:r>
    </w:p>
    <w:p w:rsidR="002456AD" w:rsidRDefault="002456AD" w:rsidP="002456AD">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 xml:space="preserve"> 2025 и 2026 годов»</w:t>
      </w:r>
      <w:r>
        <w:rPr>
          <w:rFonts w:ascii="Times New Roman" w:hAnsi="Times New Roman" w:cs="Times New Roman"/>
          <w:sz w:val="28"/>
          <w:szCs w:val="28"/>
        </w:rPr>
        <w:t xml:space="preserve">      </w:t>
      </w:r>
    </w:p>
    <w:p w:rsidR="002456AD" w:rsidRDefault="002456AD" w:rsidP="002456A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2456AD" w:rsidRDefault="002456AD" w:rsidP="002456A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184.1 – 187 Бюджетного кодекса Российской Федерации, п.1 ч.1 ст.16 Федерального закона от 6 октября 2003 года № 131-ФЗ «Об общих принципах организации местного самоуправления в Российской Федерации», п.2 ч.4 ст.18 Устава городского округа город Стерлитамак Республики Башкортостан, утвержденного решением Совета городского округа город Стерлитамак Республики Башкортостан от 13 декабря 2005 года № 2/3з, учитывая результаты проведенных публичных слушаний по проекту бюджета городского округа город Стерлитамак Республики Башкортостан на 2024 год и </w:t>
      </w:r>
      <w:r>
        <w:rPr>
          <w:rFonts w:ascii="Times New Roman" w:hAnsi="Times New Roman" w:cs="Times New Roman"/>
          <w:bCs/>
          <w:sz w:val="28"/>
          <w:szCs w:val="28"/>
        </w:rPr>
        <w:t xml:space="preserve">на плановый период 2025 и 2026 годов, </w:t>
      </w:r>
      <w:r>
        <w:rPr>
          <w:rFonts w:ascii="Times New Roman" w:hAnsi="Times New Roman" w:cs="Times New Roman"/>
          <w:sz w:val="28"/>
          <w:szCs w:val="28"/>
        </w:rPr>
        <w:t xml:space="preserve"> Совет городского округа город Стерлитамак Республики Башкортостан</w:t>
      </w:r>
    </w:p>
    <w:p w:rsidR="002456AD" w:rsidRDefault="002456AD" w:rsidP="002456AD">
      <w:pPr>
        <w:spacing w:line="360" w:lineRule="auto"/>
        <w:jc w:val="center"/>
        <w:rPr>
          <w:rFonts w:ascii="Times New Roman" w:hAnsi="Times New Roman" w:cs="Times New Roman"/>
          <w:sz w:val="28"/>
          <w:szCs w:val="28"/>
        </w:rPr>
      </w:pPr>
      <w:r>
        <w:rPr>
          <w:rFonts w:ascii="Times New Roman" w:hAnsi="Times New Roman" w:cs="Times New Roman"/>
          <w:b/>
          <w:bCs/>
          <w:i/>
          <w:iCs/>
          <w:sz w:val="28"/>
          <w:szCs w:val="28"/>
        </w:rPr>
        <w:t>Р Е Ш И Л:</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bookmarkStart w:id="0" w:name="Par12"/>
      <w:bookmarkEnd w:id="0"/>
      <w:r>
        <w:rPr>
          <w:rFonts w:ascii="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на 2024 год:</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прогнозируемый общий объем доходов бюджета городского округа город Стерлитамак Республики Башкортостан в сумме 7 653 208 126, 70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общий объем расходов бюджета городского округа город Стерлитамак Республики Башкортостан в сумме 7 913 208 126,70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дефицит бюджета городского округа город Стерлитамак Республики Башкортостан в сумме 260 000 000,00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городского округа город Стерлитамак Республики Башкортостан на плановый период 2025 и 2026 годов:</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 прогнозируемый общий объем доходов бюджета городского округа город Стерлитамак Республики Башкортостан на 2025 год в сумме 7 830 481 728,43 рублей и на 2026 год в сумме 7 855 921 599,78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общий объем расходов бюджета городского округа город Стерлитамак Республики Башкортостан на 2025 год в сумме 7 830 481 728,43 рублей, в том числе условно утвержденные расходы в сумме 88 049 900,00 рублей и на 2026 год в сумме 7 855 921 599,78 рублей, в том числе условно утвержденные расходы в сумме 189 100 000,00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Утвердить источники финансирования дефицита бюджета городского округа город Стерлитамак Республики Башкортостан на 2024 год и на плановый период 2025 и 2026 годов, согласно приложению 1 к настоящему решению. </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Установить, что муниципальные унитарные предприятия, созданные городским округом город Стерлитамак Республикой Башкортостан, производят отчисления в бюджет городского округа город Стерлитамак Республики Башкортостан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округа город Стерлитамак Республики Башкортостан. </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Установить, что при зачислении в  бюджет городского округа город Стерлитамак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городского округа город Стерлитамак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городского округа город Стерлитамак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6.Установить </w:t>
      </w:r>
      <w:hyperlink r:id="rId7" w:history="1">
        <w:r>
          <w:rPr>
            <w:rStyle w:val="ae"/>
            <w:rFonts w:ascii="Times New Roman" w:hAnsi="Times New Roman" w:cs="Times New Roman"/>
            <w:sz w:val="28"/>
            <w:szCs w:val="28"/>
          </w:rPr>
          <w:t>поступления</w:t>
        </w:r>
      </w:hyperlink>
      <w:r>
        <w:rPr>
          <w:rFonts w:ascii="Times New Roman" w:hAnsi="Times New Roman" w:cs="Times New Roman"/>
          <w:sz w:val="28"/>
          <w:szCs w:val="28"/>
        </w:rPr>
        <w:t xml:space="preserve"> доходов в бюджет городского округа город Стерлитамак Республики Башкортостан на 2024 год и на плановый период 2025 и 2026 годов согласно приложению 2 к настоящему решению.</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Казначейское обслуживание казначейских счетов, открытых Финансовому управлению администрации городского округа город Стерлитамак Республики Башкортостан, осуществляется Управлением Федерального казначейства по Республике Башкортостан в </w:t>
      </w:r>
      <w:hyperlink r:id="rId8" w:history="1">
        <w:r>
          <w:rPr>
            <w:rStyle w:val="ae"/>
            <w:rFonts w:ascii="Times New Roman" w:hAnsi="Times New Roman" w:cs="Times New Roman"/>
            <w:sz w:val="28"/>
            <w:szCs w:val="28"/>
          </w:rPr>
          <w:t>порядке</w:t>
        </w:r>
      </w:hyperlink>
      <w:r>
        <w:rPr>
          <w:rFonts w:ascii="Times New Roman" w:hAnsi="Times New Roman" w:cs="Times New Roman"/>
          <w:sz w:val="28"/>
          <w:szCs w:val="28"/>
        </w:rPr>
        <w:t>, установленном бюджетным законодательством Российской Федерации.</w:t>
      </w:r>
    </w:p>
    <w:p w:rsidR="002456AD" w:rsidRDefault="002456AD" w:rsidP="002456AD">
      <w:pPr>
        <w:pStyle w:val="ConsPlu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8. Утвердить в пределах общего объема расходов  бюджета городского округа город Стерлитамак Республики Башкортостан, установленного </w:t>
      </w:r>
      <w:hyperlink r:id="rId9" w:history="1">
        <w:r>
          <w:rPr>
            <w:rStyle w:val="ae"/>
            <w:rFonts w:ascii="Times New Roman" w:hAnsi="Times New Roman" w:cs="Times New Roman"/>
            <w:sz w:val="28"/>
            <w:szCs w:val="28"/>
          </w:rPr>
          <w:t>пунктами 1</w:t>
        </w:r>
      </w:hyperlink>
      <w:r>
        <w:rPr>
          <w:rFonts w:ascii="Times New Roman" w:hAnsi="Times New Roman" w:cs="Times New Roman"/>
          <w:sz w:val="28"/>
          <w:szCs w:val="28"/>
        </w:rPr>
        <w:t xml:space="preserve">,2 настоящего решения, </w:t>
      </w:r>
      <w:hyperlink r:id="rId10" w:history="1">
        <w:r>
          <w:rPr>
            <w:rStyle w:val="ae"/>
            <w:rFonts w:ascii="Times New Roman" w:hAnsi="Times New Roman" w:cs="Times New Roman"/>
            <w:sz w:val="28"/>
            <w:szCs w:val="28"/>
          </w:rPr>
          <w:t>распределение</w:t>
        </w:r>
      </w:hyperlink>
      <w:r>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 на 2024 год и на плановый период 2025 и 2026 годов:</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городского округа город Стерлитамак Республики Башкортостан, согласно приложению 3 к настоящему решению;</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по целевым статьям (муниципальным программам и непрограммным направлениям деятельности), группам видов расходов классификации расходов бюджета городского округа город Стерлитамак Республики Башкортостан, согласно приложению 4 к настоящему решению.</w:t>
      </w:r>
    </w:p>
    <w:p w:rsidR="002456AD" w:rsidRDefault="002456AD" w:rsidP="002456A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Утвердить </w:t>
      </w:r>
      <w:hyperlink r:id="rId11" w:history="1">
        <w:r>
          <w:rPr>
            <w:rStyle w:val="ae"/>
            <w:rFonts w:ascii="Times New Roman" w:hAnsi="Times New Roman" w:cs="Times New Roman"/>
            <w:sz w:val="28"/>
            <w:szCs w:val="28"/>
          </w:rPr>
          <w:t>ведомственную структуру</w:t>
        </w:r>
      </w:hyperlink>
      <w:r>
        <w:rPr>
          <w:rFonts w:ascii="Times New Roman" w:hAnsi="Times New Roman" w:cs="Times New Roman"/>
          <w:sz w:val="28"/>
          <w:szCs w:val="28"/>
        </w:rPr>
        <w:t xml:space="preserve"> расходов бюджета городского округа город Стерлитамак </w:t>
      </w:r>
      <w:r>
        <w:rPr>
          <w:rFonts w:ascii="Times New Roman" w:hAnsi="Times New Roman" w:cs="Times New Roman"/>
          <w:bCs/>
          <w:color w:val="000000"/>
          <w:sz w:val="28"/>
          <w:szCs w:val="28"/>
        </w:rPr>
        <w:t>Республики Башкортостан</w:t>
      </w:r>
      <w:r>
        <w:rPr>
          <w:rFonts w:ascii="Times New Roman" w:hAnsi="Times New Roman" w:cs="Times New Roman"/>
          <w:sz w:val="28"/>
          <w:szCs w:val="28"/>
        </w:rPr>
        <w:t> на 2024 год и на плановый период 2025 и 2026 годов, согласно приложению 5 к настоящему решению.</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Утвердить общий объем бюджетных ассигнований на исполнение публичных нормативных обязательств на 2024 год в сумме 1 020 000,00 рублей, на 2025 год в сумме 1 020 000,00 рублей и на 2026 год в сумме 1 020 000,00 рублей. </w:t>
      </w:r>
    </w:p>
    <w:p w:rsidR="002456AD" w:rsidRDefault="002456AD" w:rsidP="002456AD">
      <w:pPr>
        <w:pStyle w:val="ad"/>
        <w:shd w:val="clear" w:color="auto" w:fill="FFFFFF"/>
        <w:spacing w:before="0" w:beforeAutospacing="0" w:after="240" w:afterAutospacing="0" w:line="360" w:lineRule="auto"/>
        <w:jc w:val="both"/>
        <w:rPr>
          <w:color w:val="252525"/>
          <w:sz w:val="28"/>
          <w:szCs w:val="28"/>
        </w:rPr>
      </w:pPr>
      <w:r>
        <w:rPr>
          <w:color w:val="252525"/>
          <w:sz w:val="28"/>
          <w:szCs w:val="28"/>
        </w:rPr>
        <w:t xml:space="preserve">          11. Установить, что в 2024 году в случаях, предусмотренных настоящей статьей, Финансовое управление администрации городского округа город Стерлитамак Республики Башкортостан в порядке, установленном Администрацией городского округа город Стерлитамак Республики Башкортостан, осуществляет казначейское сопровождение средств в валюте Российской Федерации, указанных в части 2 (с учетом положений части 3) настоящей статьи (далее - целевые средства).</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lastRenderedPageBreak/>
        <w:t xml:space="preserve">             При казначейском сопровождении операции по зачислению и списанию целевых средств осуществляются на казначейском счете для осуществления и отражения операций с денежными средствами участников казначейского сопровождения, открытом Финансовому управлению администрации городского округа город Стерлитамак Республики Башкортостан в Управлении Федерального казначейства по Республике Башкортостан, и отражаются на лицевых счетах, открытых в Финансовом управлении администрации городского округа город Стерлитамак Республики Башкортостан в порядке, установленном Финансовым управлением администрации городского округа город Стерлитамак  Республики Башкортостан.</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При казначейском сопровождении целевых средств Финансовое управление администрации городского округа город Стерлитамак Республики Башкортостан осуществляет санкционирование операций в установленном им порядке.</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12. Установить, что казначейскому сопровождению подлежат следующие целевые средства:</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1) направляемые на реализацию национальных проектов:</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а) авансовые платежи по муниципальным контрактам о поставке товаров, выполнении работ, оказании услуг, заключаемым на сумму 100 000 000,00 рубля и более в рамках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rFonts w:ascii="Arial" w:hAnsi="Arial" w:cs="Arial"/>
          <w:color w:val="252525"/>
          <w:sz w:val="29"/>
          <w:szCs w:val="29"/>
        </w:rPr>
        <w:t xml:space="preserve">      </w:t>
      </w:r>
      <w:r>
        <w:rPr>
          <w:color w:val="252525"/>
          <w:sz w:val="28"/>
          <w:szCs w:val="28"/>
        </w:rPr>
        <w:t>б)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подпункте "а" пункта 1 настоящей части муниципальных контрактов о поставке товаров, выполнении работ, оказании услуг;</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в) расчеты по муниципальным контрактам о поставке товаров, выполнении работ, оказании услуг (за исключением муниципальных контрактов, указанных в подпункте "а" пункта 1 настоящей части), заключаемым на сумму 100 000 000,00 </w:t>
      </w:r>
      <w:r>
        <w:rPr>
          <w:color w:val="252525"/>
          <w:sz w:val="28"/>
          <w:szCs w:val="28"/>
        </w:rPr>
        <w:lastRenderedPageBreak/>
        <w:t>рубля и более, а также расчеты по контрактам (договорам), заключаемым в целях исполнения указанных муниципальных контрактов на сумму 50 000 000,00 рубля и более;</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2) получаемые юридическими лицами и индивидуальными предпринимателями в случаях, установленных отдельными решениями Администрации городского округа город Стерлитамак Республики Башкортостан.</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13. Положения части 2 настоящего пункта не распространяются на средства:</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1) предоставляемые из бюджета городского округа город Стерлитамак Республики Башкортостан на основании муниципальных контрактов, контрактов (договоров), заключаемых:</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муниципальной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муниципальным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б) в целях проведения мероприятий по борьбе с распространением новой коронавирусной инфекции (COVID-19) на территории Республики Башкортостан;</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lastRenderedPageBreak/>
        <w:t xml:space="preserve">      г) в соответствии с законодательством Российской Федерации, исполнение которых подлежит казначейскому сопровождению Федеральным казначейством;</w:t>
      </w:r>
    </w:p>
    <w:p w:rsidR="002456AD" w:rsidRDefault="002456AD" w:rsidP="002456AD">
      <w:pPr>
        <w:pStyle w:val="ad"/>
        <w:shd w:val="clear" w:color="auto" w:fill="FFFFFF"/>
        <w:spacing w:before="0" w:beforeAutospacing="0" w:after="0" w:afterAutospacing="0" w:line="360" w:lineRule="auto"/>
        <w:jc w:val="both"/>
        <w:rPr>
          <w:color w:val="252525"/>
          <w:sz w:val="28"/>
          <w:szCs w:val="28"/>
        </w:rPr>
      </w:pPr>
      <w:r>
        <w:rPr>
          <w:color w:val="252525"/>
          <w:sz w:val="28"/>
          <w:szCs w:val="28"/>
        </w:rPr>
        <w:t xml:space="preserve">      д) с муниципальными казенными учреждениями, являющимися исполнителями муниципальных контрактов, контрактов (договоров);</w:t>
      </w:r>
    </w:p>
    <w:p w:rsidR="002456AD" w:rsidRDefault="002456AD" w:rsidP="002456AD">
      <w:pPr>
        <w:pStyle w:val="ad"/>
        <w:shd w:val="clear" w:color="auto" w:fill="FFFFFF"/>
        <w:spacing w:before="0" w:beforeAutospacing="0" w:after="0" w:afterAutospacing="0" w:line="360" w:lineRule="auto"/>
        <w:rPr>
          <w:color w:val="252525"/>
          <w:sz w:val="28"/>
          <w:szCs w:val="28"/>
        </w:rPr>
      </w:pPr>
      <w:r>
        <w:rPr>
          <w:color w:val="252525"/>
          <w:sz w:val="28"/>
          <w:szCs w:val="28"/>
        </w:rPr>
        <w:t xml:space="preserve">       2) предоставляемые из бюджета городского округа город Стерлитамак Республики Башкортостан юридическим лицам, индивидуальным предпринимателям, физическим лицам - производителям товаров, работ, услуг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2456AD" w:rsidRDefault="002456AD" w:rsidP="002456AD">
      <w:pPr>
        <w:pStyle w:val="ad"/>
        <w:shd w:val="clear" w:color="auto" w:fill="FFFFFF"/>
        <w:spacing w:before="0" w:beforeAutospacing="0" w:after="0" w:afterAutospacing="0" w:line="360" w:lineRule="auto"/>
        <w:rPr>
          <w:color w:val="252525"/>
          <w:sz w:val="28"/>
          <w:szCs w:val="28"/>
        </w:rPr>
      </w:pPr>
      <w:r>
        <w:rPr>
          <w:color w:val="252525"/>
          <w:sz w:val="28"/>
          <w:szCs w:val="28"/>
        </w:rPr>
        <w:t xml:space="preserve">      3) получаемые юридическими лицами, индивидуальными предпринимателями в случаях, установленных отдельными решениями Администрации городского округа город Стерлитамак Республики Башкортостан.</w:t>
      </w:r>
    </w:p>
    <w:p w:rsidR="002456AD" w:rsidRDefault="002456AD" w:rsidP="002456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14. Установить, что в 2024-2026 годах из бюджета городского округа город Стерлитамак Республики Башкортостан 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 в пределах предусмотренных им ассигнований по соответствующим кодам бюджетной классификации:</w:t>
      </w:r>
    </w:p>
    <w:p w:rsidR="002456AD" w:rsidRDefault="002456AD" w:rsidP="002456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со статьей 78 Бюджетного кодекса Российской Федерации субсидии:</w:t>
      </w:r>
    </w:p>
    <w:p w:rsidR="002456AD" w:rsidRDefault="002456AD" w:rsidP="002456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w:t>
      </w:r>
    </w:p>
    <w:p w:rsidR="002456AD" w:rsidRDefault="002456AD" w:rsidP="002456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 для софинансирования расходов на возмещение затрат коммунальным организациям, поставляющим коммунальные ресурсы для предоставления коммунальных услуг населению по тарифам, не обеспечивающим возмещение издержек, на обеспечение устойчивого функционирования и подготовку объектов коммунального хозяйства к работе в осенне-зимний период;</w:t>
      </w:r>
    </w:p>
    <w:p w:rsidR="002456AD" w:rsidRDefault="002456AD" w:rsidP="002456A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управляющим организациям, товариществам собственников жилья, жилищным кооперативам или иным специализированным потребительским </w:t>
      </w:r>
      <w:r>
        <w:rPr>
          <w:rFonts w:ascii="Times New Roman" w:hAnsi="Times New Roman" w:cs="Times New Roman"/>
          <w:sz w:val="28"/>
          <w:szCs w:val="28"/>
        </w:rPr>
        <w:lastRenderedPageBreak/>
        <w:t>кооперативам, ресурсоснабжающим организациям в целях возмещения затрат (недополученных доходов) в связи с оказанием коммунальных услуг, услуг по содержанию и ремонту незаселенных жилых помещений и нежилых помещений муниципального фонда;</w:t>
      </w:r>
    </w:p>
    <w:p w:rsidR="002456AD" w:rsidRDefault="002456AD" w:rsidP="002456AD">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2) в соответствии с пунктом 2 статьи 78.1 Бюджетного кодекса Российской Федерации предоставляются субсидии:</w:t>
      </w:r>
    </w:p>
    <w:p w:rsidR="002456AD" w:rsidRDefault="002456AD" w:rsidP="002456AD">
      <w:p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а) общественным объединениям, реализующим общественно полезные (значимые) программы (мероприятия) в сфере культуры и искусства, социальной защиты населения, молодежной политики, национальных и общественно-политических отношений;</w:t>
      </w:r>
    </w:p>
    <w:p w:rsidR="002456AD" w:rsidRDefault="002456AD" w:rsidP="002456AD">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б)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муниципальной поддержки на проведение капитального ремонта общего имущества в многоквартирных домах, расположенных на территории городского округа город Стерлитамак Республики Башкортостан;</w:t>
      </w:r>
    </w:p>
    <w:p w:rsidR="002456AD" w:rsidRDefault="002456AD" w:rsidP="002456AD">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в) юридическим лицам, реализующим инвестиционные проекты по строительству, реконструкции, модернизации объектов инфраструктуры, в рамках привлеченных средств Фонда национального благосостояния. </w:t>
      </w:r>
    </w:p>
    <w:p w:rsidR="002456AD" w:rsidRDefault="002456AD" w:rsidP="002456AD">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  3) в соответствии с пунктом 4 статьи 78.1 Бюджетного кодекса Российской Федерации предоставляются гранты в форме субсидии:</w:t>
      </w:r>
    </w:p>
    <w:p w:rsidR="002456AD" w:rsidRDefault="002456AD" w:rsidP="002456A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 социально ориентированным некоммерческим организациям и территориальным общественным самоуправлениям на реализацию социально значимых проектов;</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Установить, что субсидии, предоставляемые из бюджета городского округа город Стерлитамак Республики Башкортостан муниципальным бюджетным и автономным учреждениям городского округа город Стерлитамак Республики Башкортостан, учитываются на лицевых счетах, открытых в Финансовом управлении администрации городского округа город Стерлитамак Республики Башкортостан. </w:t>
      </w:r>
    </w:p>
    <w:p w:rsidR="002456AD" w:rsidRDefault="002456AD" w:rsidP="002456A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 Утвердить объем бюджетных ассигнований Дорожного фонда городского округа город Стерлитамак Республики Башкортостан на 2024 год в сумме 437 430 722,00 рублей, на 2025 год в сумме 277 130 048,00 рублей и на 2026 год в сумме 156 514 393,00</w:t>
      </w:r>
      <w:r>
        <w:rPr>
          <w:rFonts w:ascii="Times New Roman" w:hAnsi="Times New Roman" w:cs="Times New Roman"/>
        </w:rPr>
        <w:t xml:space="preserve"> </w:t>
      </w:r>
      <w:r>
        <w:rPr>
          <w:rFonts w:ascii="Times New Roman" w:hAnsi="Times New Roman" w:cs="Times New Roman"/>
          <w:sz w:val="28"/>
          <w:szCs w:val="28"/>
        </w:rPr>
        <w:t>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Установить, что решения и иные муниципальные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город Стерлитамак Республики Башкортостан на 2024 год и на плановый период 2025 и 2026 годов, а также сокращающие его доходную базу, подлежат исполнению при изыскании дополнительных источников доходов бюджета городского округа город Стерлитамак Республики Башкортостан и (или) сокращении бюджетных ассигнований по конкретным статьям расходов бюджета городского округа город Стерлитамак Республики Башкортостан, при условии внесения соответствующих изменений в настоящее решение.</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 Проекты решений и иных муниципальных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округа город Стерлитамак Республики Башкортостан на 2024 год и на плановый период 2025 и 2026 годов, либо сокращающие его доходную базу, вносятся только при одновременном внесении предложений о дополнительных источниках доходов  бюджета городского округа город Стерлитамак Республики Башкортостан и (или) сокращении бюджетных ассигнований по конкретным статьям расходов  бюджета городского округа город Стерлитамак Республики Башкортостан.</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Установить в бюджете городского округа город Стерлитамак Республики Башкортостан поступления межбюджетных трансфертов, получаемых из бюджета Республики Башкортостан на 2024 год в сумме 4 891 543 126,70 рублей, на 2025 год в сумме 4 927 888 728,43 рублей и на 2026 год в сумме 4 793 547 099,78 рублей. </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20. Установить размер резервного фонда администрации городского округа город Стерлитамак </w:t>
      </w:r>
      <w:r>
        <w:rPr>
          <w:rFonts w:ascii="Times New Roman" w:hAnsi="Times New Roman" w:cs="Times New Roman"/>
          <w:bCs/>
          <w:color w:val="000000"/>
          <w:sz w:val="28"/>
          <w:szCs w:val="28"/>
        </w:rPr>
        <w:t>Республики Башкортостан в сумме 2 000 000 рублей.</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21. Утвердить:</w:t>
      </w:r>
    </w:p>
    <w:p w:rsidR="002456AD" w:rsidRDefault="002456AD" w:rsidP="002456AD">
      <w:pPr>
        <w:pStyle w:val="ConsPlusTitle"/>
        <w:spacing w:line="360" w:lineRule="auto"/>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           1)</w:t>
      </w:r>
      <w:r>
        <w:rPr>
          <w:rFonts w:ascii="Times New Roman" w:hAnsi="Times New Roman" w:cs="Times New Roman"/>
          <w:b w:val="0"/>
          <w:bCs w:val="0"/>
          <w:sz w:val="28"/>
          <w:szCs w:val="28"/>
        </w:rPr>
        <w:t xml:space="preserve"> верхний предел муниципального внутреннего долга городского округа город Стерлитамак Республики Башкортостан на 1 января 2025 года в сумме </w:t>
      </w:r>
      <w:r>
        <w:rPr>
          <w:rFonts w:ascii="Times New Roman" w:hAnsi="Times New Roman" w:cs="Times New Roman"/>
          <w:b w:val="0"/>
          <w:sz w:val="28"/>
          <w:szCs w:val="28"/>
        </w:rPr>
        <w:t>234 464 690,00</w:t>
      </w:r>
      <w:r>
        <w:rPr>
          <w:rFonts w:ascii="Times New Roman" w:hAnsi="Times New Roman" w:cs="Times New Roman"/>
          <w:sz w:val="28"/>
          <w:szCs w:val="28"/>
        </w:rPr>
        <w:t xml:space="preserve"> </w:t>
      </w:r>
      <w:r>
        <w:rPr>
          <w:rFonts w:ascii="Times New Roman" w:hAnsi="Times New Roman" w:cs="Times New Roman"/>
          <w:b w:val="0"/>
          <w:bCs w:val="0"/>
          <w:sz w:val="28"/>
          <w:szCs w:val="28"/>
        </w:rPr>
        <w:t xml:space="preserve"> рублей, на 1 января 2026 года в сумме 216</w:t>
      </w:r>
      <w:r>
        <w:rPr>
          <w:rFonts w:ascii="Times New Roman" w:hAnsi="Times New Roman" w:cs="Times New Roman"/>
          <w:b w:val="0"/>
          <w:sz w:val="28"/>
          <w:szCs w:val="28"/>
        </w:rPr>
        <w:t> 264 690,00</w:t>
      </w:r>
      <w:r>
        <w:rPr>
          <w:rFonts w:ascii="Times New Roman" w:hAnsi="Times New Roman" w:cs="Times New Roman"/>
          <w:sz w:val="28"/>
          <w:szCs w:val="28"/>
        </w:rPr>
        <w:t xml:space="preserve"> </w:t>
      </w:r>
      <w:r>
        <w:rPr>
          <w:rFonts w:ascii="Times New Roman" w:hAnsi="Times New Roman" w:cs="Times New Roman"/>
          <w:b w:val="0"/>
          <w:bCs w:val="0"/>
          <w:sz w:val="28"/>
          <w:szCs w:val="28"/>
        </w:rPr>
        <w:t>рублей и на 1 января 2027 года в сумме 198</w:t>
      </w:r>
      <w:r>
        <w:rPr>
          <w:rFonts w:ascii="Times New Roman" w:hAnsi="Times New Roman" w:cs="Times New Roman"/>
          <w:b w:val="0"/>
          <w:sz w:val="28"/>
          <w:szCs w:val="28"/>
        </w:rPr>
        <w:t> 064 690,00</w:t>
      </w:r>
      <w:r>
        <w:rPr>
          <w:rFonts w:ascii="Times New Roman" w:hAnsi="Times New Roman" w:cs="Times New Roman"/>
          <w:sz w:val="28"/>
          <w:szCs w:val="28"/>
        </w:rPr>
        <w:t xml:space="preserve">  </w:t>
      </w:r>
      <w:r>
        <w:rPr>
          <w:rFonts w:ascii="Times New Roman" w:hAnsi="Times New Roman" w:cs="Times New Roman"/>
          <w:b w:val="0"/>
          <w:bCs w:val="0"/>
          <w:sz w:val="28"/>
          <w:szCs w:val="28"/>
        </w:rPr>
        <w:t>рублей, в том числе верхний предел долга по муниципальным гарантиям городского округа город Стерлитамак Республики Башкортостан в валюте Российской Федерации на 1 января 2025 года в сумме ноль рублей, на 1 января 2026 года в сумме ноль рублей, на 1 января 2027 года в сумме ноль рублей;</w:t>
      </w:r>
    </w:p>
    <w:p w:rsidR="002456AD" w:rsidRDefault="002456AD" w:rsidP="002456AD">
      <w:pPr>
        <w:pStyle w:val="ConsPlusTitle"/>
        <w:spacing w:line="36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2) программу муниципальных внутренних заимствований городского округа город Стерлитамак Республики Башкортостан на 2024 год и на плановый период 2025 и 2026 годов согласно приложению 6 </w:t>
      </w:r>
      <w:r>
        <w:rPr>
          <w:rFonts w:ascii="Times New Roman" w:hAnsi="Times New Roman" w:cs="Times New Roman"/>
          <w:b w:val="0"/>
          <w:bCs w:val="0"/>
          <w:sz w:val="28"/>
          <w:szCs w:val="28"/>
        </w:rPr>
        <w:br/>
        <w:t>к настоящему решению.</w:t>
      </w:r>
    </w:p>
    <w:p w:rsidR="002456AD" w:rsidRDefault="002456AD" w:rsidP="002456AD">
      <w:pPr>
        <w:pStyle w:val="ConsPlusTitle"/>
        <w:spacing w:line="360" w:lineRule="auto"/>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           22</w:t>
      </w:r>
      <w:r>
        <w:rPr>
          <w:rFonts w:ascii="Times New Roman" w:hAnsi="Times New Roman" w:cs="Times New Roman"/>
          <w:b w:val="0"/>
          <w:sz w:val="28"/>
          <w:szCs w:val="28"/>
        </w:rPr>
        <w:t>. Установить, что остатки средств бюджета городского округа город Стерлитамак Республики Башкортостан по состоянию на 1 января 2024 года направляются в объеме:</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не более остатка средств бюджета за минусом остатка федеральных и республиканских средств на покрытие временных кассовых разрывов, возникающих в ходе исполнения бюджета городского округа город Стерлитамак Республики Башкортостан;</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не превышающем сумму остатка неиспользованных бюджетных ассигнований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2023 году.</w:t>
      </w:r>
    </w:p>
    <w:p w:rsidR="002456AD" w:rsidRDefault="002456AD" w:rsidP="002456A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Установить, что в соответствии с пунктом 3 статьи 217 Бюджетного кодекса Российской Федерации основанием для внесения изменений в сводную роспись бюджета городского округа город Стерлитамак Республики Башкортостан является распределение главными распорядителями бюджетных средств </w:t>
      </w:r>
      <w:r>
        <w:rPr>
          <w:rFonts w:ascii="Times New Roman" w:hAnsi="Times New Roman" w:cs="Times New Roman"/>
          <w:sz w:val="28"/>
          <w:szCs w:val="28"/>
        </w:rPr>
        <w:lastRenderedPageBreak/>
        <w:t>утвержденных бюджетных ассигнований, связанных с особенностями исполнения бюджета и (или) перераспределения бюджетных ассигнований между главными распорядителями бюджетных средств по следующим основаниям:</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распределение средств, иным образом зарезервированных в составе утвержденных бюджетных ассигнований;  </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использование средств резервного фонда администрации городского округа город Стерлитамак Республики Башкортостан;</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выплаты, связанные с исполнением судебных актов, предусматривающих обращение взыскания на средства бюджета городского округа город Стерлитамак Республики Башкортостан и (или) предусматривающих перечисление этих средств в счет оплаты судебных издержек;</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изменение функций и полномочий главных распорядителей (распорядителей), получателей средств бюджета городского округа город Стерлитамак Республики Башкортостан, а также в связи с передачей муниципального имущества, изменением подведомственности распорядителей (получателей) средств бюджета городского округа город Стерлитамак Республики Башкортостан;</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в случае изменения типа (подведомственности) муниципальных учреждений и организационно-правовой формы муниципальных унитарных предприятий;</w:t>
      </w:r>
    </w:p>
    <w:p w:rsidR="002456AD" w:rsidRDefault="002456AD" w:rsidP="002456AD">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6) в случае перераспределения бюджетных ассигнований, предоставляемых на конкурсной основе;</w:t>
      </w:r>
      <w:r>
        <w:rPr>
          <w:rFonts w:ascii="Times New Roman" w:hAnsi="Times New Roman" w:cs="Times New Roman"/>
          <w:sz w:val="28"/>
          <w:szCs w:val="28"/>
        </w:rPr>
        <w:t xml:space="preserve"> </w:t>
      </w:r>
    </w:p>
    <w:p w:rsidR="002456AD" w:rsidRDefault="002456AD" w:rsidP="002456A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 увеличение бюджетных ассигнований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
    <w:p w:rsidR="002456AD" w:rsidRDefault="002456AD" w:rsidP="002456A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8)  при поступлении из федерального и республиканского бюджетов средств в виде дотаций, субсидий, субвенций и иных межбюджетных трансфертов;</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Установить в соответствии с пунктом 8 статьи 217 Бюджетного кодекса Российской Федерации дополнительные основания для внесения изменений в </w:t>
      </w:r>
      <w:r>
        <w:rPr>
          <w:rFonts w:ascii="Times New Roman" w:hAnsi="Times New Roman" w:cs="Times New Roman"/>
          <w:sz w:val="28"/>
          <w:szCs w:val="28"/>
        </w:rPr>
        <w:lastRenderedPageBreak/>
        <w:t>сводную бюджетную роспись бюджета городского округа город Стерлитамак Республики Башкортостан на текущий финансовый год и на плановый период, связанные с особенностями исполнения бюджета городского округа город Стерлитамак Республики Башкортостан и (или) перераспределения бюджетных ассигнований между главными распорядителями средств  бюджета городского округа город Стерлитамак Республики Башкортостан:</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сокращение и перераспределение бюджетных ассигнований в случае применения бюджетных мер принуждения, предусмотренных главой 30 Бюджетного кодекса Российской Федерации;</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перераспределение бюджетных ассигнований между разделами, подразделами, целевыми статьями, видами расходов классификации расходов бюджета городского округа город Стерлитамак Республики Башкортостан в пределах средств, предусмотренных главному распорядителю средств  бюджета городского округа город Стерлитамак 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использование остатков средств бюджета городского округа город Стерлитамак Республики Башкортостан на 1 января 2024 года;</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2456AD" w:rsidRDefault="002456AD" w:rsidP="002456A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w:t>
      </w:r>
    </w:p>
    <w:p w:rsidR="002456AD" w:rsidRDefault="002456AD" w:rsidP="002456A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w:t>
      </w:r>
      <w:r>
        <w:rPr>
          <w:rFonts w:ascii="Times New Roman" w:hAnsi="Times New Roman" w:cs="Times New Roman"/>
          <w:sz w:val="28"/>
          <w:szCs w:val="28"/>
        </w:rPr>
        <w:lastRenderedPageBreak/>
        <w:t>внесении изменений в муниципальные программы городского округа город Стерлитамак Республики Башкортостан.</w:t>
      </w:r>
    </w:p>
    <w:p w:rsidR="002456AD" w:rsidRDefault="002456AD" w:rsidP="002456AD">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 Настоящее решение вступает в силу с 1 января 2024 года.</w:t>
      </w:r>
    </w:p>
    <w:p w:rsidR="002456AD" w:rsidRDefault="002456AD" w:rsidP="002456AD">
      <w:pPr>
        <w:autoSpaceDE w:val="0"/>
        <w:autoSpaceDN w:val="0"/>
        <w:adjustRightInd w:val="0"/>
        <w:spacing w:after="0" w:line="360" w:lineRule="auto"/>
        <w:ind w:firstLine="709"/>
        <w:jc w:val="both"/>
        <w:rPr>
          <w:rFonts w:ascii="Times New Roman" w:hAnsi="Times New Roman" w:cs="Times New Roman"/>
          <w:sz w:val="28"/>
          <w:szCs w:val="28"/>
        </w:rPr>
      </w:pPr>
    </w:p>
    <w:p w:rsidR="002456AD" w:rsidRDefault="002456AD" w:rsidP="002456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Председатель Совета городского </w:t>
      </w:r>
    </w:p>
    <w:p w:rsidR="002456AD" w:rsidRDefault="002456AD" w:rsidP="002456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округа город Стерлитамак</w:t>
      </w:r>
    </w:p>
    <w:p w:rsidR="002456AD" w:rsidRDefault="002456AD" w:rsidP="002456AD">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Республики Башкортостан </w:t>
      </w:r>
      <w:r>
        <w:rPr>
          <w:rFonts w:ascii="Times New Roman" w:hAnsi="Times New Roman" w:cs="Times New Roman"/>
          <w:bCs/>
          <w:sz w:val="28"/>
          <w:szCs w:val="28"/>
        </w:rPr>
        <w:tab/>
      </w:r>
      <w:r>
        <w:rPr>
          <w:rFonts w:ascii="Times New Roman" w:hAnsi="Times New Roman" w:cs="Times New Roman"/>
          <w:bCs/>
          <w:sz w:val="28"/>
          <w:szCs w:val="28"/>
        </w:rPr>
        <w:tab/>
        <w:t xml:space="preserve">                                                            С.В. Бойков</w:t>
      </w:r>
    </w:p>
    <w:p w:rsidR="00C11686" w:rsidRDefault="00C11686" w:rsidP="00C11686">
      <w:pPr>
        <w:autoSpaceDE w:val="0"/>
        <w:autoSpaceDN w:val="0"/>
        <w:adjustRightInd w:val="0"/>
        <w:spacing w:after="0" w:line="360" w:lineRule="auto"/>
        <w:ind w:firstLine="709"/>
        <w:jc w:val="both"/>
        <w:rPr>
          <w:rFonts w:ascii="Times New Roman" w:hAnsi="Times New Roman" w:cs="Times New Roman"/>
          <w:sz w:val="28"/>
          <w:szCs w:val="28"/>
        </w:rPr>
      </w:pPr>
    </w:p>
    <w:p w:rsidR="00C11686" w:rsidRDefault="00C11686" w:rsidP="00064EEF">
      <w:pPr>
        <w:jc w:val="both"/>
        <w:rPr>
          <w:rFonts w:ascii="Times New Roman" w:hAnsi="Times New Roman" w:cs="Times New Roman"/>
          <w:sz w:val="28"/>
          <w:szCs w:val="28"/>
        </w:rPr>
      </w:pPr>
    </w:p>
    <w:p w:rsidR="002456AD" w:rsidRDefault="002456AD" w:rsidP="00064EEF">
      <w:pPr>
        <w:jc w:val="both"/>
        <w:rPr>
          <w:rFonts w:ascii="Times New Roman" w:hAnsi="Times New Roman" w:cs="Times New Roman"/>
          <w:sz w:val="28"/>
          <w:szCs w:val="28"/>
        </w:rPr>
      </w:pPr>
      <w:bookmarkStart w:id="1" w:name="_GoBack"/>
      <w:bookmarkEnd w:id="1"/>
    </w:p>
    <w:p w:rsidR="007E5177" w:rsidRDefault="007E5177" w:rsidP="007E5177">
      <w:pPr>
        <w:spacing w:after="0"/>
        <w:jc w:val="both"/>
        <w:rPr>
          <w:rFonts w:ascii="Times New Roman" w:hAnsi="Times New Roman" w:cs="Times New Roman"/>
          <w:bCs/>
          <w:sz w:val="28"/>
          <w:szCs w:val="28"/>
        </w:rPr>
      </w:pPr>
      <w:r>
        <w:rPr>
          <w:rFonts w:ascii="Times New Roman" w:hAnsi="Times New Roman"/>
          <w:bCs/>
          <w:sz w:val="28"/>
          <w:szCs w:val="28"/>
        </w:rPr>
        <w:t>Заместитель главы администрации-</w:t>
      </w:r>
    </w:p>
    <w:p w:rsidR="007E5177" w:rsidRDefault="007E5177" w:rsidP="007E5177">
      <w:pPr>
        <w:spacing w:after="0"/>
        <w:jc w:val="both"/>
        <w:rPr>
          <w:rFonts w:ascii="Times New Roman" w:hAnsi="Times New Roman"/>
          <w:sz w:val="28"/>
          <w:szCs w:val="28"/>
        </w:rPr>
      </w:pPr>
      <w:r>
        <w:rPr>
          <w:rFonts w:ascii="Times New Roman" w:hAnsi="Times New Roman"/>
          <w:bCs/>
          <w:sz w:val="28"/>
          <w:szCs w:val="28"/>
        </w:rPr>
        <w:t xml:space="preserve">начальник финансового управления                                         </w:t>
      </w:r>
      <w:r w:rsidR="009A3D5C">
        <w:rPr>
          <w:rFonts w:ascii="Times New Roman" w:hAnsi="Times New Roman"/>
          <w:bCs/>
          <w:sz w:val="28"/>
          <w:szCs w:val="28"/>
        </w:rPr>
        <w:t xml:space="preserve">       </w:t>
      </w:r>
      <w:r>
        <w:rPr>
          <w:rFonts w:ascii="Times New Roman" w:hAnsi="Times New Roman"/>
          <w:bCs/>
          <w:sz w:val="28"/>
          <w:szCs w:val="28"/>
        </w:rPr>
        <w:t xml:space="preserve">     Г.Р. Зиганшина</w:t>
      </w:r>
    </w:p>
    <w:p w:rsidR="00C11686" w:rsidRDefault="00C11686" w:rsidP="00064EEF">
      <w:pPr>
        <w:jc w:val="both"/>
        <w:rPr>
          <w:rFonts w:ascii="Times New Roman" w:hAnsi="Times New Roman" w:cs="Times New Roman"/>
          <w:sz w:val="28"/>
          <w:szCs w:val="28"/>
        </w:rPr>
      </w:pPr>
    </w:p>
    <w:sectPr w:rsidR="00C11686" w:rsidSect="0020452D">
      <w:headerReference w:type="default" r:id="rId12"/>
      <w:headerReference w:type="firs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ACC" w:rsidRDefault="00743ACC" w:rsidP="00A73E2F">
      <w:pPr>
        <w:spacing w:after="0" w:line="240" w:lineRule="auto"/>
      </w:pPr>
      <w:r>
        <w:separator/>
      </w:r>
    </w:p>
  </w:endnote>
  <w:endnote w:type="continuationSeparator" w:id="0">
    <w:p w:rsidR="00743ACC" w:rsidRDefault="00743ACC"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ACC" w:rsidRDefault="00743ACC" w:rsidP="00A73E2F">
      <w:pPr>
        <w:spacing w:after="0" w:line="240" w:lineRule="auto"/>
      </w:pPr>
      <w:r>
        <w:separator/>
      </w:r>
    </w:p>
  </w:footnote>
  <w:footnote w:type="continuationSeparator" w:id="0">
    <w:p w:rsidR="00743ACC" w:rsidRDefault="00743ACC"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156A4F" w:rsidRDefault="00C27896">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00930330"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2456AD">
      <w:rPr>
        <w:rFonts w:ascii="Times New Roman" w:hAnsi="Times New Roman" w:cs="Times New Roman"/>
        <w:noProof/>
        <w:sz w:val="28"/>
        <w:szCs w:val="28"/>
      </w:rPr>
      <w:t>11</w:t>
    </w:r>
    <w:r w:rsidRPr="00156A4F">
      <w:rPr>
        <w:rFonts w:ascii="Times New Roman" w:hAnsi="Times New Roman" w:cs="Times New Roman"/>
        <w:sz w:val="28"/>
        <w:szCs w:val="28"/>
      </w:rPr>
      <w:fldChar w:fldCharType="end"/>
    </w:r>
  </w:p>
  <w:p w:rsidR="00930330" w:rsidRPr="00156A4F" w:rsidRDefault="00930330"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30" w:rsidRPr="007226DB" w:rsidRDefault="00930330">
    <w:pPr>
      <w:pStyle w:val="a3"/>
      <w:jc w:val="center"/>
      <w:rPr>
        <w:rFonts w:ascii="Times New Roman" w:hAnsi="Times New Roman" w:cs="Times New Roman"/>
        <w:sz w:val="28"/>
        <w:szCs w:val="28"/>
      </w:rPr>
    </w:pPr>
  </w:p>
  <w:p w:rsidR="00930330" w:rsidRPr="007226DB" w:rsidRDefault="00930330">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7CDF"/>
    <w:multiLevelType w:val="multilevel"/>
    <w:tmpl w:val="A3C8BEA8"/>
    <w:lvl w:ilvl="0">
      <w:start w:val="1"/>
      <w:numFmt w:val="decimal"/>
      <w:lvlText w:val="%1."/>
      <w:lvlJc w:val="left"/>
      <w:pPr>
        <w:ind w:left="615" w:hanging="615"/>
      </w:pPr>
      <w:rPr>
        <w:rFonts w:hint="default"/>
      </w:rPr>
    </w:lvl>
    <w:lvl w:ilvl="1">
      <w:start w:val="1"/>
      <w:numFmt w:val="decimal"/>
      <w:lvlText w:val="%1.%2."/>
      <w:lvlJc w:val="left"/>
      <w:pPr>
        <w:ind w:left="922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C146770"/>
    <w:multiLevelType w:val="hybridMultilevel"/>
    <w:tmpl w:val="DF264838"/>
    <w:lvl w:ilvl="0" w:tplc="0F12636A">
      <w:start w:val="1"/>
      <w:numFmt w:val="decimal"/>
      <w:lvlText w:val="%1)"/>
      <w:lvlJc w:val="left"/>
      <w:pPr>
        <w:ind w:left="1335" w:hanging="360"/>
      </w:pPr>
      <w:rPr>
        <w:rFonts w:ascii="Times New Roman" w:eastAsia="Calibri" w:hAnsi="Times New Roman" w:cs="Times New Roman"/>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2F"/>
    <w:rsid w:val="00001CEF"/>
    <w:rsid w:val="0000250C"/>
    <w:rsid w:val="0000292F"/>
    <w:rsid w:val="00004862"/>
    <w:rsid w:val="00011EF5"/>
    <w:rsid w:val="00013C9C"/>
    <w:rsid w:val="0001546B"/>
    <w:rsid w:val="000166F1"/>
    <w:rsid w:val="0002357B"/>
    <w:rsid w:val="00026760"/>
    <w:rsid w:val="00034FBE"/>
    <w:rsid w:val="00041680"/>
    <w:rsid w:val="000474AE"/>
    <w:rsid w:val="0005273E"/>
    <w:rsid w:val="00064EEF"/>
    <w:rsid w:val="00065912"/>
    <w:rsid w:val="0007193F"/>
    <w:rsid w:val="00071C9E"/>
    <w:rsid w:val="00072FE3"/>
    <w:rsid w:val="00073883"/>
    <w:rsid w:val="000740B7"/>
    <w:rsid w:val="000777D9"/>
    <w:rsid w:val="00083659"/>
    <w:rsid w:val="00092AC6"/>
    <w:rsid w:val="0009442C"/>
    <w:rsid w:val="00094BFA"/>
    <w:rsid w:val="000A0E2F"/>
    <w:rsid w:val="000A3EE9"/>
    <w:rsid w:val="000A5BE1"/>
    <w:rsid w:val="000A7638"/>
    <w:rsid w:val="000B27B3"/>
    <w:rsid w:val="000C074B"/>
    <w:rsid w:val="000C157A"/>
    <w:rsid w:val="000C4D36"/>
    <w:rsid w:val="000C5969"/>
    <w:rsid w:val="000D5363"/>
    <w:rsid w:val="000D5853"/>
    <w:rsid w:val="000D6530"/>
    <w:rsid w:val="000E1531"/>
    <w:rsid w:val="000E254A"/>
    <w:rsid w:val="000E74EE"/>
    <w:rsid w:val="000F00E2"/>
    <w:rsid w:val="000F119F"/>
    <w:rsid w:val="000F5C2A"/>
    <w:rsid w:val="000F68C8"/>
    <w:rsid w:val="000F6A40"/>
    <w:rsid w:val="000F7023"/>
    <w:rsid w:val="000F7AF2"/>
    <w:rsid w:val="001004F4"/>
    <w:rsid w:val="00100F0A"/>
    <w:rsid w:val="001035B5"/>
    <w:rsid w:val="00106C75"/>
    <w:rsid w:val="00111478"/>
    <w:rsid w:val="001139A6"/>
    <w:rsid w:val="00116FA1"/>
    <w:rsid w:val="00117922"/>
    <w:rsid w:val="00121B07"/>
    <w:rsid w:val="00121CA1"/>
    <w:rsid w:val="00123449"/>
    <w:rsid w:val="00126E6E"/>
    <w:rsid w:val="001317BB"/>
    <w:rsid w:val="00132EC2"/>
    <w:rsid w:val="001355B9"/>
    <w:rsid w:val="00135F91"/>
    <w:rsid w:val="001413FD"/>
    <w:rsid w:val="00143AF5"/>
    <w:rsid w:val="001479A9"/>
    <w:rsid w:val="00150F98"/>
    <w:rsid w:val="00156A4F"/>
    <w:rsid w:val="0015732A"/>
    <w:rsid w:val="0016071D"/>
    <w:rsid w:val="00163FF3"/>
    <w:rsid w:val="00167522"/>
    <w:rsid w:val="0017185E"/>
    <w:rsid w:val="00176604"/>
    <w:rsid w:val="00183878"/>
    <w:rsid w:val="00191E77"/>
    <w:rsid w:val="001962CA"/>
    <w:rsid w:val="00197021"/>
    <w:rsid w:val="001A3E31"/>
    <w:rsid w:val="001A7221"/>
    <w:rsid w:val="001B04FF"/>
    <w:rsid w:val="001B528D"/>
    <w:rsid w:val="001B74BD"/>
    <w:rsid w:val="001C1A25"/>
    <w:rsid w:val="001C6B6F"/>
    <w:rsid w:val="001D0A21"/>
    <w:rsid w:val="001D5C02"/>
    <w:rsid w:val="001E0A39"/>
    <w:rsid w:val="001E3E7C"/>
    <w:rsid w:val="001F51D2"/>
    <w:rsid w:val="001F5531"/>
    <w:rsid w:val="00204282"/>
    <w:rsid w:val="0020452D"/>
    <w:rsid w:val="0020700F"/>
    <w:rsid w:val="00210187"/>
    <w:rsid w:val="002257FD"/>
    <w:rsid w:val="00231DB9"/>
    <w:rsid w:val="002337A8"/>
    <w:rsid w:val="00237662"/>
    <w:rsid w:val="00240E7D"/>
    <w:rsid w:val="002456AD"/>
    <w:rsid w:val="00245E66"/>
    <w:rsid w:val="0024677A"/>
    <w:rsid w:val="00252F00"/>
    <w:rsid w:val="00254018"/>
    <w:rsid w:val="00254BCF"/>
    <w:rsid w:val="002570EC"/>
    <w:rsid w:val="00257116"/>
    <w:rsid w:val="00257646"/>
    <w:rsid w:val="00267B37"/>
    <w:rsid w:val="00271E6C"/>
    <w:rsid w:val="00273BC1"/>
    <w:rsid w:val="00281CDA"/>
    <w:rsid w:val="00282C41"/>
    <w:rsid w:val="00293219"/>
    <w:rsid w:val="00293D9D"/>
    <w:rsid w:val="00296032"/>
    <w:rsid w:val="002A0E09"/>
    <w:rsid w:val="002A253F"/>
    <w:rsid w:val="002A26D8"/>
    <w:rsid w:val="002A5255"/>
    <w:rsid w:val="002A72F9"/>
    <w:rsid w:val="002B0871"/>
    <w:rsid w:val="002B4235"/>
    <w:rsid w:val="002B50FF"/>
    <w:rsid w:val="002C229E"/>
    <w:rsid w:val="002D3C0E"/>
    <w:rsid w:val="002D6C85"/>
    <w:rsid w:val="002E0C55"/>
    <w:rsid w:val="002E429A"/>
    <w:rsid w:val="002F4CFD"/>
    <w:rsid w:val="0030688A"/>
    <w:rsid w:val="00310527"/>
    <w:rsid w:val="003110F8"/>
    <w:rsid w:val="003114C5"/>
    <w:rsid w:val="0031291B"/>
    <w:rsid w:val="00321FAB"/>
    <w:rsid w:val="00322913"/>
    <w:rsid w:val="0032527C"/>
    <w:rsid w:val="00325ECC"/>
    <w:rsid w:val="00326EF0"/>
    <w:rsid w:val="0033230E"/>
    <w:rsid w:val="003417E9"/>
    <w:rsid w:val="00341F85"/>
    <w:rsid w:val="00343869"/>
    <w:rsid w:val="00346105"/>
    <w:rsid w:val="0034653F"/>
    <w:rsid w:val="00351D26"/>
    <w:rsid w:val="0035294E"/>
    <w:rsid w:val="00363AC0"/>
    <w:rsid w:val="0036415A"/>
    <w:rsid w:val="00365699"/>
    <w:rsid w:val="0036772E"/>
    <w:rsid w:val="00393716"/>
    <w:rsid w:val="003959B9"/>
    <w:rsid w:val="003968C4"/>
    <w:rsid w:val="00397941"/>
    <w:rsid w:val="003A6071"/>
    <w:rsid w:val="003A65F8"/>
    <w:rsid w:val="003B46CE"/>
    <w:rsid w:val="003B4B42"/>
    <w:rsid w:val="003B5405"/>
    <w:rsid w:val="003B6051"/>
    <w:rsid w:val="003C1523"/>
    <w:rsid w:val="003C3195"/>
    <w:rsid w:val="003C34C9"/>
    <w:rsid w:val="003C3B8F"/>
    <w:rsid w:val="003D03B4"/>
    <w:rsid w:val="003E0958"/>
    <w:rsid w:val="003E13CB"/>
    <w:rsid w:val="003E4D5F"/>
    <w:rsid w:val="003E7C64"/>
    <w:rsid w:val="003F1B99"/>
    <w:rsid w:val="003F3EBE"/>
    <w:rsid w:val="003F533F"/>
    <w:rsid w:val="00405DE6"/>
    <w:rsid w:val="00411964"/>
    <w:rsid w:val="00420920"/>
    <w:rsid w:val="004263D5"/>
    <w:rsid w:val="00426A8C"/>
    <w:rsid w:val="0043075C"/>
    <w:rsid w:val="00433A91"/>
    <w:rsid w:val="00441462"/>
    <w:rsid w:val="0045018C"/>
    <w:rsid w:val="00450A6B"/>
    <w:rsid w:val="0045315F"/>
    <w:rsid w:val="004604E9"/>
    <w:rsid w:val="004616FD"/>
    <w:rsid w:val="00461978"/>
    <w:rsid w:val="00462DCA"/>
    <w:rsid w:val="0046636B"/>
    <w:rsid w:val="004809D6"/>
    <w:rsid w:val="0048774C"/>
    <w:rsid w:val="004A0210"/>
    <w:rsid w:val="004A172C"/>
    <w:rsid w:val="004A53F6"/>
    <w:rsid w:val="004B5CDF"/>
    <w:rsid w:val="004C2454"/>
    <w:rsid w:val="004C7719"/>
    <w:rsid w:val="004C786A"/>
    <w:rsid w:val="004D2F99"/>
    <w:rsid w:val="004D338F"/>
    <w:rsid w:val="004D63D0"/>
    <w:rsid w:val="004E7291"/>
    <w:rsid w:val="005011E7"/>
    <w:rsid w:val="00501C9F"/>
    <w:rsid w:val="005036EE"/>
    <w:rsid w:val="005046B3"/>
    <w:rsid w:val="0052111E"/>
    <w:rsid w:val="00521168"/>
    <w:rsid w:val="00525F4D"/>
    <w:rsid w:val="005314B5"/>
    <w:rsid w:val="00540570"/>
    <w:rsid w:val="00540CC4"/>
    <w:rsid w:val="005514FA"/>
    <w:rsid w:val="00552F51"/>
    <w:rsid w:val="00553722"/>
    <w:rsid w:val="00564481"/>
    <w:rsid w:val="00564B3A"/>
    <w:rsid w:val="005650C9"/>
    <w:rsid w:val="005703AA"/>
    <w:rsid w:val="00572FA1"/>
    <w:rsid w:val="005731DF"/>
    <w:rsid w:val="00582C18"/>
    <w:rsid w:val="00584DE8"/>
    <w:rsid w:val="00586610"/>
    <w:rsid w:val="00591A25"/>
    <w:rsid w:val="00596740"/>
    <w:rsid w:val="00596EF8"/>
    <w:rsid w:val="00597264"/>
    <w:rsid w:val="005A140D"/>
    <w:rsid w:val="005B259E"/>
    <w:rsid w:val="005B4B94"/>
    <w:rsid w:val="005B57FB"/>
    <w:rsid w:val="005B5C05"/>
    <w:rsid w:val="005B75E5"/>
    <w:rsid w:val="005C10F5"/>
    <w:rsid w:val="005C155F"/>
    <w:rsid w:val="005C2E03"/>
    <w:rsid w:val="005C3569"/>
    <w:rsid w:val="005C5531"/>
    <w:rsid w:val="005D5580"/>
    <w:rsid w:val="005D5A47"/>
    <w:rsid w:val="005D6748"/>
    <w:rsid w:val="005D6F50"/>
    <w:rsid w:val="005E02FE"/>
    <w:rsid w:val="005E1C69"/>
    <w:rsid w:val="005F2DAA"/>
    <w:rsid w:val="005F5692"/>
    <w:rsid w:val="005F6DA5"/>
    <w:rsid w:val="005F7DAC"/>
    <w:rsid w:val="00600D17"/>
    <w:rsid w:val="00617519"/>
    <w:rsid w:val="0061768C"/>
    <w:rsid w:val="006249E0"/>
    <w:rsid w:val="00625426"/>
    <w:rsid w:val="006322C7"/>
    <w:rsid w:val="00633753"/>
    <w:rsid w:val="0064421B"/>
    <w:rsid w:val="00646C1E"/>
    <w:rsid w:val="00650554"/>
    <w:rsid w:val="00656DC9"/>
    <w:rsid w:val="00657524"/>
    <w:rsid w:val="00660272"/>
    <w:rsid w:val="006614E9"/>
    <w:rsid w:val="0066535C"/>
    <w:rsid w:val="00667062"/>
    <w:rsid w:val="006773F3"/>
    <w:rsid w:val="00680FBD"/>
    <w:rsid w:val="006901B5"/>
    <w:rsid w:val="006911F3"/>
    <w:rsid w:val="00692EBE"/>
    <w:rsid w:val="006A1E0B"/>
    <w:rsid w:val="006A4805"/>
    <w:rsid w:val="006A58F4"/>
    <w:rsid w:val="006D7866"/>
    <w:rsid w:val="006E3E17"/>
    <w:rsid w:val="006E607A"/>
    <w:rsid w:val="006E7303"/>
    <w:rsid w:val="006F1D3B"/>
    <w:rsid w:val="006F2881"/>
    <w:rsid w:val="006F3EA1"/>
    <w:rsid w:val="006F462B"/>
    <w:rsid w:val="006F4F50"/>
    <w:rsid w:val="006F6414"/>
    <w:rsid w:val="006F65D9"/>
    <w:rsid w:val="00700B48"/>
    <w:rsid w:val="007030F8"/>
    <w:rsid w:val="0071090B"/>
    <w:rsid w:val="00712F0A"/>
    <w:rsid w:val="00713DA1"/>
    <w:rsid w:val="00716506"/>
    <w:rsid w:val="0072045D"/>
    <w:rsid w:val="007226DB"/>
    <w:rsid w:val="00723E5D"/>
    <w:rsid w:val="00724499"/>
    <w:rsid w:val="0072554E"/>
    <w:rsid w:val="0072610D"/>
    <w:rsid w:val="00727D6F"/>
    <w:rsid w:val="007329D2"/>
    <w:rsid w:val="0073334F"/>
    <w:rsid w:val="00737B27"/>
    <w:rsid w:val="00740A31"/>
    <w:rsid w:val="00743ACC"/>
    <w:rsid w:val="00745770"/>
    <w:rsid w:val="0075184D"/>
    <w:rsid w:val="00752E32"/>
    <w:rsid w:val="00755812"/>
    <w:rsid w:val="00755A10"/>
    <w:rsid w:val="00760DEE"/>
    <w:rsid w:val="007631F4"/>
    <w:rsid w:val="00765394"/>
    <w:rsid w:val="007668EE"/>
    <w:rsid w:val="007707DC"/>
    <w:rsid w:val="00774292"/>
    <w:rsid w:val="007747E6"/>
    <w:rsid w:val="00774B8D"/>
    <w:rsid w:val="00776308"/>
    <w:rsid w:val="007771CD"/>
    <w:rsid w:val="007858D7"/>
    <w:rsid w:val="00786D69"/>
    <w:rsid w:val="00787F92"/>
    <w:rsid w:val="0079166A"/>
    <w:rsid w:val="00793912"/>
    <w:rsid w:val="00794C48"/>
    <w:rsid w:val="00794D31"/>
    <w:rsid w:val="007966F1"/>
    <w:rsid w:val="007A7005"/>
    <w:rsid w:val="007B1609"/>
    <w:rsid w:val="007B4272"/>
    <w:rsid w:val="007B6DAE"/>
    <w:rsid w:val="007C2EBF"/>
    <w:rsid w:val="007D334E"/>
    <w:rsid w:val="007E4D2E"/>
    <w:rsid w:val="007E5177"/>
    <w:rsid w:val="007E5A8E"/>
    <w:rsid w:val="007F3578"/>
    <w:rsid w:val="00803D54"/>
    <w:rsid w:val="00813E14"/>
    <w:rsid w:val="00814ED3"/>
    <w:rsid w:val="00815604"/>
    <w:rsid w:val="008240BA"/>
    <w:rsid w:val="00826409"/>
    <w:rsid w:val="00827B2A"/>
    <w:rsid w:val="00832083"/>
    <w:rsid w:val="008324E8"/>
    <w:rsid w:val="00833F38"/>
    <w:rsid w:val="00835E7F"/>
    <w:rsid w:val="00841375"/>
    <w:rsid w:val="00842411"/>
    <w:rsid w:val="008436C7"/>
    <w:rsid w:val="00854A94"/>
    <w:rsid w:val="00855C71"/>
    <w:rsid w:val="00857F52"/>
    <w:rsid w:val="00863684"/>
    <w:rsid w:val="00864AF2"/>
    <w:rsid w:val="00867CA5"/>
    <w:rsid w:val="00871ACB"/>
    <w:rsid w:val="008725EF"/>
    <w:rsid w:val="008739A9"/>
    <w:rsid w:val="00875A4C"/>
    <w:rsid w:val="0088576E"/>
    <w:rsid w:val="008874DD"/>
    <w:rsid w:val="00890EA9"/>
    <w:rsid w:val="00897517"/>
    <w:rsid w:val="008A4B53"/>
    <w:rsid w:val="008A5C28"/>
    <w:rsid w:val="008A5CED"/>
    <w:rsid w:val="008A5DC9"/>
    <w:rsid w:val="008B2D4E"/>
    <w:rsid w:val="008B4C34"/>
    <w:rsid w:val="008B4EAC"/>
    <w:rsid w:val="008C4CDC"/>
    <w:rsid w:val="008C6493"/>
    <w:rsid w:val="008D2369"/>
    <w:rsid w:val="008D6B15"/>
    <w:rsid w:val="008E2277"/>
    <w:rsid w:val="008E32B4"/>
    <w:rsid w:val="008E5940"/>
    <w:rsid w:val="008E7130"/>
    <w:rsid w:val="008E7754"/>
    <w:rsid w:val="008F222C"/>
    <w:rsid w:val="008F5F48"/>
    <w:rsid w:val="00905058"/>
    <w:rsid w:val="00907062"/>
    <w:rsid w:val="00910B6A"/>
    <w:rsid w:val="009113E3"/>
    <w:rsid w:val="00917148"/>
    <w:rsid w:val="00922B43"/>
    <w:rsid w:val="0092515D"/>
    <w:rsid w:val="00926ECE"/>
    <w:rsid w:val="009271C7"/>
    <w:rsid w:val="00930330"/>
    <w:rsid w:val="00933D93"/>
    <w:rsid w:val="00933E7B"/>
    <w:rsid w:val="009372D4"/>
    <w:rsid w:val="00940741"/>
    <w:rsid w:val="00952A51"/>
    <w:rsid w:val="00955B8F"/>
    <w:rsid w:val="0096509A"/>
    <w:rsid w:val="009672AE"/>
    <w:rsid w:val="009701E6"/>
    <w:rsid w:val="00972D15"/>
    <w:rsid w:val="009827AF"/>
    <w:rsid w:val="00984609"/>
    <w:rsid w:val="009852F9"/>
    <w:rsid w:val="00995D20"/>
    <w:rsid w:val="00997EE1"/>
    <w:rsid w:val="009A3967"/>
    <w:rsid w:val="009A3D5C"/>
    <w:rsid w:val="009A40B4"/>
    <w:rsid w:val="009B04F4"/>
    <w:rsid w:val="009B7952"/>
    <w:rsid w:val="009C0742"/>
    <w:rsid w:val="009C14E2"/>
    <w:rsid w:val="009C71F0"/>
    <w:rsid w:val="009D352F"/>
    <w:rsid w:val="009D4A08"/>
    <w:rsid w:val="009E07FC"/>
    <w:rsid w:val="009F098E"/>
    <w:rsid w:val="009F157F"/>
    <w:rsid w:val="009F4185"/>
    <w:rsid w:val="00A02B66"/>
    <w:rsid w:val="00A02F67"/>
    <w:rsid w:val="00A1571D"/>
    <w:rsid w:val="00A209EC"/>
    <w:rsid w:val="00A225C2"/>
    <w:rsid w:val="00A23B27"/>
    <w:rsid w:val="00A3485B"/>
    <w:rsid w:val="00A35594"/>
    <w:rsid w:val="00A42E17"/>
    <w:rsid w:val="00A53079"/>
    <w:rsid w:val="00A5341E"/>
    <w:rsid w:val="00A53D67"/>
    <w:rsid w:val="00A54E19"/>
    <w:rsid w:val="00A54E52"/>
    <w:rsid w:val="00A57F14"/>
    <w:rsid w:val="00A603F7"/>
    <w:rsid w:val="00A67FAC"/>
    <w:rsid w:val="00A71EB8"/>
    <w:rsid w:val="00A73E2F"/>
    <w:rsid w:val="00A776E3"/>
    <w:rsid w:val="00A8104D"/>
    <w:rsid w:val="00A84158"/>
    <w:rsid w:val="00A849D9"/>
    <w:rsid w:val="00A90B2C"/>
    <w:rsid w:val="00A940B0"/>
    <w:rsid w:val="00A95C58"/>
    <w:rsid w:val="00A96807"/>
    <w:rsid w:val="00AA1979"/>
    <w:rsid w:val="00AA7139"/>
    <w:rsid w:val="00AB1934"/>
    <w:rsid w:val="00AB2699"/>
    <w:rsid w:val="00AB5962"/>
    <w:rsid w:val="00AB72DB"/>
    <w:rsid w:val="00AB7B8B"/>
    <w:rsid w:val="00AC1872"/>
    <w:rsid w:val="00AC27EF"/>
    <w:rsid w:val="00AD003A"/>
    <w:rsid w:val="00AD0CB6"/>
    <w:rsid w:val="00AD3713"/>
    <w:rsid w:val="00AD550E"/>
    <w:rsid w:val="00AE4149"/>
    <w:rsid w:val="00AF3B57"/>
    <w:rsid w:val="00B05D79"/>
    <w:rsid w:val="00B107CB"/>
    <w:rsid w:val="00B10B01"/>
    <w:rsid w:val="00B11BBD"/>
    <w:rsid w:val="00B13601"/>
    <w:rsid w:val="00B14986"/>
    <w:rsid w:val="00B15235"/>
    <w:rsid w:val="00B1601F"/>
    <w:rsid w:val="00B2394E"/>
    <w:rsid w:val="00B2643B"/>
    <w:rsid w:val="00B2684E"/>
    <w:rsid w:val="00B3015A"/>
    <w:rsid w:val="00B34759"/>
    <w:rsid w:val="00B35745"/>
    <w:rsid w:val="00B360F1"/>
    <w:rsid w:val="00B452A4"/>
    <w:rsid w:val="00B476E3"/>
    <w:rsid w:val="00B525BE"/>
    <w:rsid w:val="00B52F28"/>
    <w:rsid w:val="00B61617"/>
    <w:rsid w:val="00B61690"/>
    <w:rsid w:val="00B64DF6"/>
    <w:rsid w:val="00B65835"/>
    <w:rsid w:val="00B75905"/>
    <w:rsid w:val="00B76960"/>
    <w:rsid w:val="00B77038"/>
    <w:rsid w:val="00B80792"/>
    <w:rsid w:val="00B827B0"/>
    <w:rsid w:val="00B838BC"/>
    <w:rsid w:val="00B84B0F"/>
    <w:rsid w:val="00B938DA"/>
    <w:rsid w:val="00B95494"/>
    <w:rsid w:val="00BA19C8"/>
    <w:rsid w:val="00BA2910"/>
    <w:rsid w:val="00BA58CE"/>
    <w:rsid w:val="00BA5B96"/>
    <w:rsid w:val="00BB103F"/>
    <w:rsid w:val="00BB27DC"/>
    <w:rsid w:val="00BB5268"/>
    <w:rsid w:val="00BB6829"/>
    <w:rsid w:val="00BC0605"/>
    <w:rsid w:val="00BC2562"/>
    <w:rsid w:val="00BC424E"/>
    <w:rsid w:val="00BC63C3"/>
    <w:rsid w:val="00BC7E1D"/>
    <w:rsid w:val="00BD3FA1"/>
    <w:rsid w:val="00BD4EE7"/>
    <w:rsid w:val="00BE20B5"/>
    <w:rsid w:val="00BE53C6"/>
    <w:rsid w:val="00BF0F63"/>
    <w:rsid w:val="00C01768"/>
    <w:rsid w:val="00C0187A"/>
    <w:rsid w:val="00C060F8"/>
    <w:rsid w:val="00C06DBA"/>
    <w:rsid w:val="00C10CBD"/>
    <w:rsid w:val="00C11686"/>
    <w:rsid w:val="00C24B71"/>
    <w:rsid w:val="00C27896"/>
    <w:rsid w:val="00C312AF"/>
    <w:rsid w:val="00C3587F"/>
    <w:rsid w:val="00C372E5"/>
    <w:rsid w:val="00C37785"/>
    <w:rsid w:val="00C379D4"/>
    <w:rsid w:val="00C427AE"/>
    <w:rsid w:val="00C43959"/>
    <w:rsid w:val="00C44E75"/>
    <w:rsid w:val="00C46B30"/>
    <w:rsid w:val="00C477BE"/>
    <w:rsid w:val="00C47A13"/>
    <w:rsid w:val="00C50B02"/>
    <w:rsid w:val="00C52D44"/>
    <w:rsid w:val="00C55EC0"/>
    <w:rsid w:val="00C57E07"/>
    <w:rsid w:val="00C61304"/>
    <w:rsid w:val="00C836DF"/>
    <w:rsid w:val="00C8488F"/>
    <w:rsid w:val="00C84DB4"/>
    <w:rsid w:val="00C86247"/>
    <w:rsid w:val="00C87425"/>
    <w:rsid w:val="00C92DA9"/>
    <w:rsid w:val="00C93039"/>
    <w:rsid w:val="00C954E3"/>
    <w:rsid w:val="00CA3D22"/>
    <w:rsid w:val="00CA3E9F"/>
    <w:rsid w:val="00CB4793"/>
    <w:rsid w:val="00CB6DBC"/>
    <w:rsid w:val="00CC3BE3"/>
    <w:rsid w:val="00CD2D52"/>
    <w:rsid w:val="00CD2F81"/>
    <w:rsid w:val="00CE1BDD"/>
    <w:rsid w:val="00CE3F94"/>
    <w:rsid w:val="00D00BAB"/>
    <w:rsid w:val="00D016B3"/>
    <w:rsid w:val="00D01F23"/>
    <w:rsid w:val="00D025C8"/>
    <w:rsid w:val="00D0460B"/>
    <w:rsid w:val="00D123F0"/>
    <w:rsid w:val="00D127DA"/>
    <w:rsid w:val="00D156B6"/>
    <w:rsid w:val="00D161A6"/>
    <w:rsid w:val="00D23ABD"/>
    <w:rsid w:val="00D24055"/>
    <w:rsid w:val="00D24B47"/>
    <w:rsid w:val="00D312EB"/>
    <w:rsid w:val="00D358F6"/>
    <w:rsid w:val="00D40CC9"/>
    <w:rsid w:val="00D423C3"/>
    <w:rsid w:val="00D44B59"/>
    <w:rsid w:val="00D44BA1"/>
    <w:rsid w:val="00D5024A"/>
    <w:rsid w:val="00D50389"/>
    <w:rsid w:val="00D5045B"/>
    <w:rsid w:val="00D50C11"/>
    <w:rsid w:val="00D51F10"/>
    <w:rsid w:val="00D5341C"/>
    <w:rsid w:val="00D6164F"/>
    <w:rsid w:val="00D61A1B"/>
    <w:rsid w:val="00D71A54"/>
    <w:rsid w:val="00D759D8"/>
    <w:rsid w:val="00D80E52"/>
    <w:rsid w:val="00D90BBA"/>
    <w:rsid w:val="00D918D6"/>
    <w:rsid w:val="00D944D7"/>
    <w:rsid w:val="00D96C4E"/>
    <w:rsid w:val="00D972EF"/>
    <w:rsid w:val="00D976C7"/>
    <w:rsid w:val="00DA0B87"/>
    <w:rsid w:val="00DA466B"/>
    <w:rsid w:val="00DA494B"/>
    <w:rsid w:val="00DA4CFC"/>
    <w:rsid w:val="00DA6756"/>
    <w:rsid w:val="00DB01FB"/>
    <w:rsid w:val="00DB0CD6"/>
    <w:rsid w:val="00DB1349"/>
    <w:rsid w:val="00DB7A3D"/>
    <w:rsid w:val="00DC0DED"/>
    <w:rsid w:val="00DC4313"/>
    <w:rsid w:val="00DD53D5"/>
    <w:rsid w:val="00DD5A30"/>
    <w:rsid w:val="00DE348B"/>
    <w:rsid w:val="00DE7A9F"/>
    <w:rsid w:val="00DE7E34"/>
    <w:rsid w:val="00DE7F56"/>
    <w:rsid w:val="00DF11E8"/>
    <w:rsid w:val="00DF3FF0"/>
    <w:rsid w:val="00E02372"/>
    <w:rsid w:val="00E02E15"/>
    <w:rsid w:val="00E05F90"/>
    <w:rsid w:val="00E1362F"/>
    <w:rsid w:val="00E151FD"/>
    <w:rsid w:val="00E261D5"/>
    <w:rsid w:val="00E318D1"/>
    <w:rsid w:val="00E31B45"/>
    <w:rsid w:val="00E4205E"/>
    <w:rsid w:val="00E448BF"/>
    <w:rsid w:val="00E452FB"/>
    <w:rsid w:val="00E4740B"/>
    <w:rsid w:val="00E539EA"/>
    <w:rsid w:val="00E548D2"/>
    <w:rsid w:val="00E5539B"/>
    <w:rsid w:val="00E55406"/>
    <w:rsid w:val="00E62CAF"/>
    <w:rsid w:val="00E74007"/>
    <w:rsid w:val="00E81DA4"/>
    <w:rsid w:val="00E86407"/>
    <w:rsid w:val="00E91B7F"/>
    <w:rsid w:val="00E926A4"/>
    <w:rsid w:val="00E928D4"/>
    <w:rsid w:val="00E94437"/>
    <w:rsid w:val="00E96757"/>
    <w:rsid w:val="00E97999"/>
    <w:rsid w:val="00E97FBF"/>
    <w:rsid w:val="00EA6E59"/>
    <w:rsid w:val="00EB3F66"/>
    <w:rsid w:val="00EC1B8B"/>
    <w:rsid w:val="00EC41EF"/>
    <w:rsid w:val="00EC6E5D"/>
    <w:rsid w:val="00ED10CE"/>
    <w:rsid w:val="00ED249D"/>
    <w:rsid w:val="00ED355E"/>
    <w:rsid w:val="00ED61BE"/>
    <w:rsid w:val="00ED7C21"/>
    <w:rsid w:val="00EE0938"/>
    <w:rsid w:val="00EE66C9"/>
    <w:rsid w:val="00EE7520"/>
    <w:rsid w:val="00EE7845"/>
    <w:rsid w:val="00EF2082"/>
    <w:rsid w:val="00F00F62"/>
    <w:rsid w:val="00F15D7F"/>
    <w:rsid w:val="00F16C34"/>
    <w:rsid w:val="00F20449"/>
    <w:rsid w:val="00F22D30"/>
    <w:rsid w:val="00F230A3"/>
    <w:rsid w:val="00F27A9F"/>
    <w:rsid w:val="00F3106F"/>
    <w:rsid w:val="00F32910"/>
    <w:rsid w:val="00F33B3A"/>
    <w:rsid w:val="00F34547"/>
    <w:rsid w:val="00F40618"/>
    <w:rsid w:val="00F44EB9"/>
    <w:rsid w:val="00F47BFF"/>
    <w:rsid w:val="00F51F8C"/>
    <w:rsid w:val="00F54150"/>
    <w:rsid w:val="00F55615"/>
    <w:rsid w:val="00F556A1"/>
    <w:rsid w:val="00F562CB"/>
    <w:rsid w:val="00F57BEA"/>
    <w:rsid w:val="00F61AB6"/>
    <w:rsid w:val="00F720D7"/>
    <w:rsid w:val="00F722FF"/>
    <w:rsid w:val="00F72598"/>
    <w:rsid w:val="00F757BD"/>
    <w:rsid w:val="00F82C55"/>
    <w:rsid w:val="00F8556F"/>
    <w:rsid w:val="00F92991"/>
    <w:rsid w:val="00F94D94"/>
    <w:rsid w:val="00F954C2"/>
    <w:rsid w:val="00FA7F4F"/>
    <w:rsid w:val="00FB1320"/>
    <w:rsid w:val="00FB28CC"/>
    <w:rsid w:val="00FB2FE4"/>
    <w:rsid w:val="00FB57C5"/>
    <w:rsid w:val="00FC0F3C"/>
    <w:rsid w:val="00FC4E3D"/>
    <w:rsid w:val="00FC4EB3"/>
    <w:rsid w:val="00FD2612"/>
    <w:rsid w:val="00FD2EF1"/>
    <w:rsid w:val="00FD607E"/>
    <w:rsid w:val="00FE2A68"/>
    <w:rsid w:val="00FE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C47936-3FFE-4711-A906-F3629C8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07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rsid w:val="00A73E2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73E2F"/>
  </w:style>
  <w:style w:type="paragraph" w:styleId="a5">
    <w:name w:val="footer"/>
    <w:basedOn w:val="a"/>
    <w:link w:val="a6"/>
    <w:uiPriority w:val="99"/>
    <w:rsid w:val="00A73E2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73E2F"/>
  </w:style>
  <w:style w:type="paragraph" w:customStyle="1" w:styleId="ConsPlusNormal">
    <w:name w:val="ConsPlusNormal"/>
    <w:uiPriority w:val="99"/>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740A31"/>
    <w:pPr>
      <w:ind w:left="720"/>
    </w:pPr>
  </w:style>
  <w:style w:type="paragraph" w:customStyle="1" w:styleId="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uiPriority w:val="99"/>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uiPriority w:val="99"/>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paragraph" w:styleId="ad">
    <w:name w:val="Normal (Web)"/>
    <w:basedOn w:val="a"/>
    <w:uiPriority w:val="99"/>
    <w:semiHidden/>
    <w:unhideWhenUsed/>
    <w:rsid w:val="002456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uiPriority w:val="99"/>
    <w:semiHidden/>
    <w:unhideWhenUsed/>
    <w:rsid w:val="00245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337878336">
      <w:bodyDiv w:val="1"/>
      <w:marLeft w:val="0"/>
      <w:marRight w:val="0"/>
      <w:marTop w:val="0"/>
      <w:marBottom w:val="0"/>
      <w:divBdr>
        <w:top w:val="none" w:sz="0" w:space="0" w:color="auto"/>
        <w:left w:val="none" w:sz="0" w:space="0" w:color="auto"/>
        <w:bottom w:val="none" w:sz="0" w:space="0" w:color="auto"/>
        <w:right w:val="none" w:sz="0" w:space="0" w:color="auto"/>
      </w:divBdr>
    </w:div>
    <w:div w:id="1494639606">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 w:id="18903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DD54A7F5026F507A26A40932D2A8FF81DF0E682111DC0F9B84DCCFBDBD50107D3CC6E75E332C0Ef3MF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81DD54A7F5026F507A26BA0424BEF7F680D652602316D759CFDB8792EAB45A473A739FA51A3E2E09371079fCM7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1DD54A7F5026F507A26BA0424BEF7F680D652602316D759CFDB8792EAB45A473A739FA51A3E2E09341577fCM6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1DD54A7F5026F507A26BA0424BEF7F680D652602316D759CFDB8792EAB45A473A739FA51A3E2E09371D7FfCM4H" TargetMode="External"/><Relationship Id="rId4" Type="http://schemas.openxmlformats.org/officeDocument/2006/relationships/webSettings" Target="webSettings.xml"/><Relationship Id="rId9" Type="http://schemas.openxmlformats.org/officeDocument/2006/relationships/hyperlink" Target="consultantplus://offline/ref=81DD54A7F5026F507A26BA0424BEF7F680D652602316D759CFDB8792EAB45A473A739FA51A3E2E0937157EfCM6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7532</TotalTime>
  <Pages>12</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user</cp:lastModifiedBy>
  <cp:revision>256</cp:revision>
  <cp:lastPrinted>2023-11-08T05:13:00Z</cp:lastPrinted>
  <dcterms:created xsi:type="dcterms:W3CDTF">2015-08-19T07:06:00Z</dcterms:created>
  <dcterms:modified xsi:type="dcterms:W3CDTF">2023-11-08T05:14:00Z</dcterms:modified>
</cp:coreProperties>
</file>